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BB" w:rsidRPr="00DA74BD" w:rsidRDefault="00A003BB" w:rsidP="00A003BB">
      <w:pPr>
        <w:rPr>
          <w:sz w:val="28"/>
          <w:szCs w:val="28"/>
        </w:rPr>
      </w:pPr>
      <w:r w:rsidRPr="00906C46">
        <w:rPr>
          <w:b/>
          <w:sz w:val="28"/>
          <w:szCs w:val="28"/>
        </w:rPr>
        <w:t xml:space="preserve">Site-Specific Procedures for Regulated Medical Waste (RMW) Shipping </w:t>
      </w:r>
      <w:r>
        <w:rPr>
          <w:b/>
          <w:sz w:val="28"/>
          <w:szCs w:val="28"/>
        </w:rPr>
        <w:t xml:space="preserve">via Contracted </w:t>
      </w:r>
      <w:r w:rsidRPr="00906C46">
        <w:rPr>
          <w:b/>
          <w:sz w:val="28"/>
          <w:szCs w:val="28"/>
        </w:rPr>
        <w:t>Carrier at</w:t>
      </w:r>
      <w:r w:rsidR="00DA74BD">
        <w:rPr>
          <w:sz w:val="28"/>
          <w:szCs w:val="28"/>
        </w:rPr>
        <w:t xml:space="preserve"> </w:t>
      </w:r>
      <w:r w:rsidR="00DA74BD" w:rsidRPr="00DA74BD">
        <w:rPr>
          <w:b/>
          <w:sz w:val="28"/>
          <w:szCs w:val="28"/>
        </w:rPr>
        <w:t>University of Washington Bothell</w:t>
      </w:r>
    </w:p>
    <w:p w:rsidR="00A003BB" w:rsidRPr="00FA35DE" w:rsidRDefault="00A003BB" w:rsidP="00A003BB">
      <w:pPr>
        <w:rPr>
          <w:sz w:val="28"/>
          <w:szCs w:val="28"/>
        </w:rPr>
      </w:pPr>
    </w:p>
    <w:p w:rsidR="00A003BB" w:rsidRDefault="00A003BB" w:rsidP="00A003B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A003BB" w:rsidRDefault="00A003BB" w:rsidP="00A003BB">
      <w:pPr>
        <w:pBdr>
          <w:bottom w:val="single" w:sz="12" w:space="1" w:color="auto"/>
        </w:pBdr>
        <w:rPr>
          <w:b/>
          <w:szCs w:val="24"/>
        </w:rPr>
      </w:pPr>
      <w:r>
        <w:rPr>
          <w:b/>
          <w:szCs w:val="24"/>
        </w:rPr>
        <w:t xml:space="preserve">This SOP </w:t>
      </w:r>
      <w:r w:rsidR="00F51D0C">
        <w:rPr>
          <w:b/>
          <w:szCs w:val="24"/>
        </w:rPr>
        <w:t xml:space="preserve">(reviewed and updated every 3 years or sooner), </w:t>
      </w:r>
      <w:r>
        <w:rPr>
          <w:b/>
          <w:szCs w:val="24"/>
        </w:rPr>
        <w:t>developed b</w:t>
      </w:r>
      <w:r w:rsidRPr="009F5048">
        <w:rPr>
          <w:b/>
          <w:szCs w:val="24"/>
        </w:rPr>
        <w:t>y:</w:t>
      </w:r>
    </w:p>
    <w:p w:rsidR="00DA74BD" w:rsidRPr="009F5048" w:rsidRDefault="00DA74BD" w:rsidP="00A003BB">
      <w:pPr>
        <w:pBdr>
          <w:bottom w:val="single" w:sz="12" w:space="1" w:color="auto"/>
        </w:pBdr>
        <w:rPr>
          <w:b/>
          <w:szCs w:val="24"/>
        </w:rPr>
      </w:pPr>
    </w:p>
    <w:p w:rsidR="00A003BB" w:rsidRPr="00DA74BD" w:rsidRDefault="00DA74BD" w:rsidP="00DA74BD">
      <w:pPr>
        <w:pBdr>
          <w:bottom w:val="single" w:sz="12" w:space="1" w:color="auto"/>
        </w:pBdr>
        <w:rPr>
          <w:sz w:val="20"/>
          <w:szCs w:val="20"/>
        </w:rPr>
      </w:pPr>
      <w:r w:rsidRPr="00DA74BD">
        <w:rPr>
          <w:sz w:val="20"/>
          <w:szCs w:val="20"/>
        </w:rPr>
        <w:t>Christy Cherrier</w:t>
      </w:r>
      <w:r>
        <w:rPr>
          <w:sz w:val="20"/>
          <w:szCs w:val="20"/>
        </w:rPr>
        <w:t>, Science Lab Manager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10/15/13</w:t>
      </w:r>
    </w:p>
    <w:p w:rsidR="00A003BB" w:rsidRPr="009F5048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Name and Title                                                                                                       Date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</w:p>
    <w:p w:rsidR="00A003BB" w:rsidRPr="009F502F" w:rsidRDefault="009F502F" w:rsidP="00A003BB">
      <w:pPr>
        <w:rPr>
          <w:rFonts w:cs="Arial"/>
          <w:sz w:val="20"/>
          <w:szCs w:val="20"/>
        </w:rPr>
      </w:pPr>
      <w:r w:rsidRPr="009F502F">
        <w:rPr>
          <w:rFonts w:cs="Arial"/>
          <w:sz w:val="20"/>
          <w:szCs w:val="20"/>
        </w:rPr>
        <w:t>Christy Cherrier, Science Lab Manager</w:t>
      </w:r>
      <w:r w:rsidRPr="009F502F">
        <w:rPr>
          <w:rFonts w:cs="Arial"/>
          <w:sz w:val="20"/>
          <w:szCs w:val="20"/>
        </w:rPr>
        <w:tab/>
      </w:r>
      <w:r w:rsidRPr="009F502F">
        <w:rPr>
          <w:rFonts w:cs="Arial"/>
          <w:sz w:val="20"/>
          <w:szCs w:val="20"/>
        </w:rPr>
        <w:tab/>
      </w:r>
      <w:r w:rsidRPr="009F502F">
        <w:rPr>
          <w:rFonts w:cs="Arial"/>
          <w:sz w:val="20"/>
          <w:szCs w:val="20"/>
        </w:rPr>
        <w:tab/>
      </w:r>
      <w:r w:rsidRPr="009F502F">
        <w:rPr>
          <w:rFonts w:cs="Arial"/>
          <w:sz w:val="20"/>
          <w:szCs w:val="20"/>
        </w:rPr>
        <w:tab/>
      </w:r>
      <w:r w:rsidRPr="009F502F">
        <w:rPr>
          <w:rFonts w:cs="Arial"/>
          <w:sz w:val="20"/>
          <w:szCs w:val="20"/>
        </w:rPr>
        <w:tab/>
      </w:r>
      <w:r w:rsidR="00824702">
        <w:rPr>
          <w:rFonts w:cs="Arial"/>
          <w:sz w:val="20"/>
          <w:szCs w:val="20"/>
        </w:rPr>
        <w:tab/>
      </w:r>
      <w:bookmarkStart w:id="0" w:name="_GoBack"/>
      <w:bookmarkEnd w:id="0"/>
      <w:r w:rsidRPr="009F502F">
        <w:rPr>
          <w:rFonts w:cs="Arial"/>
          <w:sz w:val="20"/>
          <w:szCs w:val="20"/>
        </w:rPr>
        <w:t xml:space="preserve">7/14/16                </w:t>
      </w:r>
      <w:r w:rsidR="00A003BB" w:rsidRPr="009F502F">
        <w:rPr>
          <w:rFonts w:cs="Arial"/>
          <w:sz w:val="20"/>
          <w:szCs w:val="20"/>
        </w:rPr>
        <w:t xml:space="preserve">              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_________________________________________________________________________________       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SOP Reviewed                                                                                                       Date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Print Name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_________________________________________________________________________________       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SOP Reviewed                                                                                                       Date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</w:t>
      </w:r>
    </w:p>
    <w:p w:rsidR="00A003BB" w:rsidRDefault="00A003BB" w:rsidP="00A003B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Print Name</w:t>
      </w:r>
    </w:p>
    <w:p w:rsidR="00A003BB" w:rsidRDefault="00A003BB" w:rsidP="00A003B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A003BB" w:rsidRDefault="00A003BB" w:rsidP="00A003BB">
      <w:pPr>
        <w:rPr>
          <w:rFonts w:cs="Arial"/>
          <w:sz w:val="20"/>
          <w:szCs w:val="20"/>
        </w:rPr>
      </w:pPr>
    </w:p>
    <w:p w:rsidR="00A003BB" w:rsidRDefault="00A003BB" w:rsidP="00A003B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0131A9" w:rsidRDefault="00C53CE0" w:rsidP="00A003BB">
      <w:r>
        <w:br w:type="page"/>
      </w:r>
    </w:p>
    <w:p w:rsidR="00A003BB" w:rsidRDefault="00A003BB" w:rsidP="00315221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Sharps </w:t>
      </w:r>
      <w:r w:rsidRPr="00B23065">
        <w:rPr>
          <w:b/>
          <w:sz w:val="36"/>
          <w:szCs w:val="36"/>
        </w:rPr>
        <w:t>Waste</w:t>
      </w:r>
      <w:r w:rsidRPr="00B23065">
        <w:rPr>
          <w:sz w:val="36"/>
          <w:szCs w:val="36"/>
        </w:rPr>
        <w:t xml:space="preserve"> </w:t>
      </w:r>
      <w:r w:rsidR="00B21A99" w:rsidRPr="004E69A4">
        <w:rPr>
          <w:b/>
          <w:sz w:val="36"/>
          <w:szCs w:val="36"/>
        </w:rPr>
        <w:t xml:space="preserve">Shipping </w:t>
      </w:r>
      <w:r w:rsidRPr="004E69A4">
        <w:rPr>
          <w:b/>
          <w:sz w:val="36"/>
          <w:szCs w:val="36"/>
        </w:rPr>
        <w:t>Procedures</w:t>
      </w:r>
    </w:p>
    <w:p w:rsidR="00A003BB" w:rsidRDefault="00A003BB" w:rsidP="00A003BB">
      <w:pPr>
        <w:jc w:val="center"/>
      </w:pPr>
    </w:p>
    <w:p w:rsidR="00A003BB" w:rsidRPr="00AE4CD9" w:rsidRDefault="00EA465F" w:rsidP="007977C5">
      <w:r>
        <w:rPr>
          <w:b/>
        </w:rPr>
        <w:t>Inner Packaging of</w:t>
      </w:r>
      <w:r w:rsidR="00A003BB">
        <w:rPr>
          <w:b/>
        </w:rPr>
        <w:t xml:space="preserve"> </w:t>
      </w:r>
      <w:r w:rsidR="007977C5">
        <w:rPr>
          <w:b/>
        </w:rPr>
        <w:t>Waste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053"/>
      </w:tblGrid>
      <w:tr w:rsidR="00406044" w:rsidRPr="001777FB" w:rsidTr="007977C5">
        <w:tc>
          <w:tcPr>
            <w:tcW w:w="1883" w:type="dxa"/>
          </w:tcPr>
          <w:p w:rsidR="00406044" w:rsidRPr="001777FB" w:rsidRDefault="00406044" w:rsidP="00A003BB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8053" w:type="dxa"/>
          </w:tcPr>
          <w:p w:rsidR="00406044" w:rsidRPr="001777FB" w:rsidRDefault="00406044" w:rsidP="00A003BB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Procedure</w:t>
            </w:r>
          </w:p>
        </w:tc>
      </w:tr>
      <w:tr w:rsidR="00406044" w:rsidRPr="001777FB" w:rsidTr="007977C5">
        <w:tc>
          <w:tcPr>
            <w:tcW w:w="1883" w:type="dxa"/>
          </w:tcPr>
          <w:p w:rsidR="00406044" w:rsidRPr="00315221" w:rsidRDefault="00315221" w:rsidP="00A003BB">
            <w:pPr>
              <w:rPr>
                <w:b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Lab Staff</w:t>
            </w:r>
          </w:p>
        </w:tc>
        <w:tc>
          <w:tcPr>
            <w:tcW w:w="8053" w:type="dxa"/>
          </w:tcPr>
          <w:p w:rsidR="00406044" w:rsidRPr="001777FB" w:rsidRDefault="00406044" w:rsidP="00406044">
            <w:pPr>
              <w:rPr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Collect</w:t>
            </w:r>
            <w:r w:rsidRPr="001777FB">
              <w:rPr>
                <w:sz w:val="24"/>
                <w:szCs w:val="24"/>
              </w:rPr>
              <w:t xml:space="preserve"> </w:t>
            </w:r>
            <w:r w:rsidRPr="001777FB">
              <w:rPr>
                <w:b/>
                <w:sz w:val="24"/>
                <w:szCs w:val="24"/>
              </w:rPr>
              <w:t>sharps waste</w:t>
            </w:r>
            <w:r w:rsidRPr="001777FB">
              <w:rPr>
                <w:sz w:val="24"/>
                <w:szCs w:val="24"/>
              </w:rPr>
              <w:t xml:space="preserve"> in a </w:t>
            </w:r>
            <w:r w:rsidR="00AE4CD9" w:rsidRPr="001777FB">
              <w:rPr>
                <w:sz w:val="24"/>
                <w:szCs w:val="24"/>
              </w:rPr>
              <w:t xml:space="preserve">rigid, </w:t>
            </w:r>
            <w:r w:rsidRPr="001777FB">
              <w:rPr>
                <w:sz w:val="24"/>
                <w:szCs w:val="24"/>
              </w:rPr>
              <w:t>red</w:t>
            </w:r>
            <w:r w:rsidR="00AE4CD9" w:rsidRPr="001777FB">
              <w:rPr>
                <w:sz w:val="24"/>
                <w:szCs w:val="24"/>
              </w:rPr>
              <w:t>, plastic, biohazard-labeled</w:t>
            </w:r>
            <w:r w:rsidRPr="001777FB">
              <w:rPr>
                <w:sz w:val="24"/>
                <w:szCs w:val="24"/>
              </w:rPr>
              <w:t xml:space="preserve"> sharps container.</w:t>
            </w:r>
          </w:p>
        </w:tc>
      </w:tr>
      <w:tr w:rsidR="00406044" w:rsidRPr="001777FB" w:rsidTr="007977C5">
        <w:tc>
          <w:tcPr>
            <w:tcW w:w="1883" w:type="dxa"/>
          </w:tcPr>
          <w:p w:rsidR="00406044" w:rsidRPr="001777FB" w:rsidRDefault="00D31422" w:rsidP="00A003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</w:t>
            </w:r>
            <w:r w:rsidR="00EA465F" w:rsidRPr="00315221">
              <w:rPr>
                <w:b/>
                <w:sz w:val="24"/>
                <w:szCs w:val="24"/>
              </w:rPr>
              <w:t xml:space="preserve"> Staff</w:t>
            </w:r>
          </w:p>
        </w:tc>
        <w:tc>
          <w:tcPr>
            <w:tcW w:w="8053" w:type="dxa"/>
          </w:tcPr>
          <w:p w:rsidR="00406044" w:rsidRPr="001777FB" w:rsidRDefault="00315221" w:rsidP="006065B3">
            <w:pPr>
              <w:rPr>
                <w:color w:val="7030A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Securely c</w:t>
            </w:r>
            <w:r w:rsidR="00164AF4" w:rsidRPr="001777FB">
              <w:rPr>
                <w:b/>
                <w:sz w:val="24"/>
                <w:szCs w:val="24"/>
              </w:rPr>
              <w:t>lose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64AF4" w:rsidRPr="001777FB">
              <w:rPr>
                <w:b/>
                <w:sz w:val="24"/>
                <w:szCs w:val="24"/>
              </w:rPr>
              <w:t xml:space="preserve">and label </w:t>
            </w:r>
            <w:r w:rsidR="00EF22E5">
              <w:rPr>
                <w:b/>
                <w:sz w:val="24"/>
                <w:szCs w:val="24"/>
              </w:rPr>
              <w:t xml:space="preserve">sharps container </w:t>
            </w:r>
            <w:r w:rsidR="00164AF4" w:rsidRPr="001777FB">
              <w:rPr>
                <w:b/>
                <w:sz w:val="24"/>
                <w:szCs w:val="24"/>
              </w:rPr>
              <w:t xml:space="preserve">when </w:t>
            </w:r>
            <w:r w:rsidR="00164AF4" w:rsidRPr="001777FB">
              <w:rPr>
                <w:b/>
                <w:i/>
                <w:sz w:val="24"/>
                <w:szCs w:val="24"/>
              </w:rPr>
              <w:t>no more</w:t>
            </w:r>
            <w:r w:rsidR="00164AF4" w:rsidRPr="001777FB">
              <w:rPr>
                <w:b/>
                <w:sz w:val="24"/>
                <w:szCs w:val="24"/>
              </w:rPr>
              <w:t xml:space="preserve"> than 2/3 full</w:t>
            </w:r>
            <w:r w:rsidR="00164AF4" w:rsidRPr="001777FB">
              <w:rPr>
                <w:sz w:val="24"/>
                <w:szCs w:val="24"/>
              </w:rPr>
              <w:t xml:space="preserve">. </w:t>
            </w:r>
            <w:r w:rsidR="00E4551B" w:rsidRPr="001777FB">
              <w:rPr>
                <w:sz w:val="24"/>
                <w:szCs w:val="24"/>
              </w:rPr>
              <w:t xml:space="preserve"> Write PI nam</w:t>
            </w:r>
            <w:r w:rsidR="0010798C">
              <w:rPr>
                <w:sz w:val="24"/>
                <w:szCs w:val="24"/>
              </w:rPr>
              <w:t>e, building, and</w:t>
            </w:r>
            <w:r w:rsidR="005F7B2C">
              <w:rPr>
                <w:sz w:val="24"/>
                <w:szCs w:val="24"/>
              </w:rPr>
              <w:t xml:space="preserve"> room number on container.  Request pick-up of Sharps waste by emailing </w:t>
            </w:r>
            <w:hyperlink r:id="rId8" w:history="1">
              <w:r w:rsidR="009F502F" w:rsidRPr="003C32B5">
                <w:rPr>
                  <w:rStyle w:val="Hyperlink"/>
                  <w:szCs w:val="24"/>
                </w:rPr>
                <w:t>bth2@uw.edu</w:t>
              </w:r>
            </w:hyperlink>
            <w:r w:rsidR="005F7B2C">
              <w:rPr>
                <w:sz w:val="24"/>
                <w:szCs w:val="24"/>
              </w:rPr>
              <w:t>.  Subject line of email should read: Sharps Waste Collection Request.  Body of email should include: Size and number of sh</w:t>
            </w:r>
            <w:r w:rsidR="00A24BEC">
              <w:rPr>
                <w:sz w:val="24"/>
                <w:szCs w:val="24"/>
              </w:rPr>
              <w:t>arps containers to be collected, building name, room number, contact person</w:t>
            </w:r>
            <w:r w:rsidR="0010798C">
              <w:rPr>
                <w:sz w:val="24"/>
                <w:szCs w:val="24"/>
              </w:rPr>
              <w:t>,</w:t>
            </w:r>
            <w:r w:rsidR="00A24BEC">
              <w:rPr>
                <w:sz w:val="24"/>
                <w:szCs w:val="24"/>
              </w:rPr>
              <w:t xml:space="preserve"> and phone number.</w:t>
            </w:r>
          </w:p>
        </w:tc>
      </w:tr>
      <w:tr w:rsidR="00406044" w:rsidRPr="001777FB" w:rsidTr="007977C5">
        <w:tc>
          <w:tcPr>
            <w:tcW w:w="1883" w:type="dxa"/>
          </w:tcPr>
          <w:p w:rsidR="00315221" w:rsidRPr="00315221" w:rsidRDefault="00315221" w:rsidP="00A003BB">
            <w:pPr>
              <w:rPr>
                <w:b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Facilities</w:t>
            </w:r>
          </w:p>
          <w:p w:rsidR="00406044" w:rsidRPr="001777FB" w:rsidRDefault="00D46CC1" w:rsidP="00A003BB">
            <w:pPr>
              <w:rPr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Services Staff</w:t>
            </w:r>
          </w:p>
        </w:tc>
        <w:tc>
          <w:tcPr>
            <w:tcW w:w="8053" w:type="dxa"/>
          </w:tcPr>
          <w:p w:rsidR="00406044" w:rsidRPr="001777FB" w:rsidRDefault="00560026" w:rsidP="00315221">
            <w:pPr>
              <w:rPr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 xml:space="preserve">Transport container to </w:t>
            </w:r>
            <w:r w:rsidR="00EF22E5">
              <w:rPr>
                <w:b/>
                <w:sz w:val="24"/>
                <w:szCs w:val="24"/>
              </w:rPr>
              <w:t xml:space="preserve">secure indoor </w:t>
            </w:r>
            <w:r w:rsidRPr="001777FB">
              <w:rPr>
                <w:b/>
                <w:sz w:val="24"/>
                <w:szCs w:val="24"/>
              </w:rPr>
              <w:t>storage area</w:t>
            </w:r>
            <w:r w:rsidR="005F7B2C">
              <w:rPr>
                <w:sz w:val="24"/>
                <w:szCs w:val="24"/>
              </w:rPr>
              <w:t xml:space="preserve">.  Trained </w:t>
            </w:r>
            <w:r w:rsidR="00A24BEC">
              <w:rPr>
                <w:sz w:val="24"/>
                <w:szCs w:val="24"/>
              </w:rPr>
              <w:t>Facilities Staff will bring empty, contractor provided shipping containers (plastic tubs), liners (large, red biohazard bags) and lids to the location where the sharps</w:t>
            </w:r>
            <w:r w:rsidR="007A53BE">
              <w:rPr>
                <w:sz w:val="24"/>
                <w:szCs w:val="24"/>
              </w:rPr>
              <w:t xml:space="preserve"> containers</w:t>
            </w:r>
            <w:r w:rsidR="00A24BEC">
              <w:rPr>
                <w:sz w:val="24"/>
                <w:szCs w:val="24"/>
              </w:rPr>
              <w:t xml:space="preserve"> are to be collected.  These containers will be loaded and then transported to, and secured in</w:t>
            </w:r>
            <w:r w:rsidR="007A53BE">
              <w:rPr>
                <w:sz w:val="24"/>
                <w:szCs w:val="24"/>
              </w:rPr>
              <w:t>side</w:t>
            </w:r>
            <w:r w:rsidR="00A24BEC">
              <w:rPr>
                <w:sz w:val="24"/>
                <w:szCs w:val="24"/>
              </w:rPr>
              <w:t xml:space="preserve"> the Hazardous Waste Conex Container (# 08) located at the UWB/CCC Corporation Yard (18231 110</w:t>
            </w:r>
            <w:r w:rsidR="00A24BEC" w:rsidRPr="00A24BEC">
              <w:rPr>
                <w:sz w:val="24"/>
                <w:szCs w:val="24"/>
                <w:vertAlign w:val="superscript"/>
              </w:rPr>
              <w:t>th</w:t>
            </w:r>
            <w:r w:rsidR="00A24BEC">
              <w:rPr>
                <w:sz w:val="24"/>
                <w:szCs w:val="24"/>
              </w:rPr>
              <w:t xml:space="preserve"> Ave. W, Bothell, WA 98011).</w:t>
            </w:r>
          </w:p>
        </w:tc>
      </w:tr>
    </w:tbl>
    <w:p w:rsidR="00311DE9" w:rsidRDefault="00491BD6" w:rsidP="00A003BB">
      <w:pPr>
        <w:rPr>
          <w:b/>
          <w:szCs w:val="24"/>
        </w:rPr>
      </w:pPr>
      <w:r w:rsidRPr="001777FB">
        <w:rPr>
          <w:b/>
          <w:szCs w:val="24"/>
        </w:rPr>
        <w:t xml:space="preserve">Outer </w:t>
      </w:r>
      <w:r w:rsidR="00A003BB" w:rsidRPr="001777FB">
        <w:rPr>
          <w:b/>
          <w:szCs w:val="24"/>
        </w:rPr>
        <w:t xml:space="preserve">Packaging </w:t>
      </w:r>
      <w:r w:rsidRPr="001777FB">
        <w:rPr>
          <w:b/>
          <w:szCs w:val="24"/>
        </w:rPr>
        <w:t xml:space="preserve">of </w:t>
      </w:r>
      <w:r w:rsidR="00A91B03" w:rsidRPr="001777FB">
        <w:rPr>
          <w:b/>
          <w:szCs w:val="24"/>
        </w:rPr>
        <w:t>Waste</w:t>
      </w:r>
    </w:p>
    <w:p w:rsidR="007A53BE" w:rsidRDefault="00311DE9" w:rsidP="00311DE9">
      <w:pPr>
        <w:rPr>
          <w:szCs w:val="24"/>
        </w:rPr>
      </w:pPr>
      <w:r>
        <w:rPr>
          <w:szCs w:val="24"/>
        </w:rPr>
        <w:t>Note: Staff responsible for Outer Packaging of Waste must also complete the EH&amp;S training class “Regulated Medical Waste Shipping via Contracted Carrier.”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053"/>
      </w:tblGrid>
      <w:tr w:rsidR="00A003BB" w:rsidRPr="001777FB" w:rsidTr="00311DE9">
        <w:tc>
          <w:tcPr>
            <w:tcW w:w="1883" w:type="dxa"/>
          </w:tcPr>
          <w:p w:rsidR="00A003BB" w:rsidRPr="001777FB" w:rsidRDefault="00A003BB" w:rsidP="00A003BB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8053" w:type="dxa"/>
          </w:tcPr>
          <w:p w:rsidR="00A003BB" w:rsidRPr="001777FB" w:rsidRDefault="00A003BB" w:rsidP="00A003BB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Procedure</w:t>
            </w:r>
          </w:p>
        </w:tc>
      </w:tr>
      <w:tr w:rsidR="00A003BB" w:rsidRPr="001777FB" w:rsidTr="00311DE9">
        <w:tc>
          <w:tcPr>
            <w:tcW w:w="1883" w:type="dxa"/>
          </w:tcPr>
          <w:p w:rsidR="00315221" w:rsidRPr="00315221" w:rsidRDefault="00315221" w:rsidP="00315221">
            <w:pPr>
              <w:rPr>
                <w:b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Facilities</w:t>
            </w:r>
          </w:p>
          <w:p w:rsidR="00A003BB" w:rsidRPr="001777FB" w:rsidRDefault="00315221" w:rsidP="00315221">
            <w:pPr>
              <w:rPr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Services Staff</w:t>
            </w:r>
          </w:p>
        </w:tc>
        <w:tc>
          <w:tcPr>
            <w:tcW w:w="8053" w:type="dxa"/>
          </w:tcPr>
          <w:p w:rsidR="00A003BB" w:rsidRPr="001777FB" w:rsidRDefault="00CD1AB7" w:rsidP="007A53BE">
            <w:pPr>
              <w:rPr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 xml:space="preserve">Place sharps container into contractor provided </w:t>
            </w:r>
            <w:r w:rsidR="008906CE">
              <w:rPr>
                <w:b/>
                <w:sz w:val="24"/>
                <w:szCs w:val="24"/>
              </w:rPr>
              <w:t xml:space="preserve">shipping </w:t>
            </w:r>
            <w:r w:rsidRPr="001777FB">
              <w:rPr>
                <w:b/>
                <w:sz w:val="24"/>
                <w:szCs w:val="24"/>
              </w:rPr>
              <w:t>container</w:t>
            </w:r>
            <w:r w:rsidRPr="001777FB">
              <w:rPr>
                <w:sz w:val="24"/>
                <w:szCs w:val="24"/>
              </w:rPr>
              <w:t xml:space="preserve"> that is lined with a large, red biohazard bag</w:t>
            </w:r>
            <w:r w:rsidR="0010798C">
              <w:rPr>
                <w:sz w:val="24"/>
                <w:szCs w:val="24"/>
              </w:rPr>
              <w:t>.  Rigid, p</w:t>
            </w:r>
            <w:r w:rsidR="007A53BE">
              <w:rPr>
                <w:sz w:val="24"/>
                <w:szCs w:val="24"/>
              </w:rPr>
              <w:t xml:space="preserve">lastic shipping containers with snap tight lids are used.  </w:t>
            </w:r>
            <w:r w:rsidR="007A53BE" w:rsidRPr="00A01B21">
              <w:rPr>
                <w:b/>
                <w:color w:val="FF0000"/>
                <w:sz w:val="24"/>
                <w:szCs w:val="24"/>
              </w:rPr>
              <w:t>Warning: do not place any other type of med</w:t>
            </w:r>
            <w:r w:rsidR="00A01B21" w:rsidRPr="00A01B21">
              <w:rPr>
                <w:b/>
                <w:color w:val="FF0000"/>
                <w:sz w:val="24"/>
                <w:szCs w:val="24"/>
              </w:rPr>
              <w:t>ical waste into a container with sharps waste.</w:t>
            </w:r>
          </w:p>
        </w:tc>
      </w:tr>
      <w:tr w:rsidR="00A003BB" w:rsidRPr="001777FB" w:rsidTr="00311DE9">
        <w:tc>
          <w:tcPr>
            <w:tcW w:w="1883" w:type="dxa"/>
          </w:tcPr>
          <w:p w:rsidR="00315221" w:rsidRPr="00315221" w:rsidRDefault="00315221" w:rsidP="00315221">
            <w:pPr>
              <w:rPr>
                <w:b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Facilities</w:t>
            </w:r>
          </w:p>
          <w:p w:rsidR="00A003BB" w:rsidRPr="001777FB" w:rsidRDefault="00315221" w:rsidP="00315221">
            <w:pPr>
              <w:rPr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Services Staff</w:t>
            </w:r>
          </w:p>
        </w:tc>
        <w:tc>
          <w:tcPr>
            <w:tcW w:w="8053" w:type="dxa"/>
          </w:tcPr>
          <w:p w:rsidR="00A003BB" w:rsidRPr="008906CE" w:rsidRDefault="00CD1AB7" w:rsidP="007A53BE">
            <w:pPr>
              <w:rPr>
                <w:color w:val="7030A0"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 xml:space="preserve">Tie the </w:t>
            </w:r>
            <w:r w:rsidR="008906CE">
              <w:rPr>
                <w:b/>
                <w:sz w:val="24"/>
                <w:szCs w:val="24"/>
              </w:rPr>
              <w:t xml:space="preserve">shipping container </w:t>
            </w:r>
            <w:r w:rsidRPr="001777FB">
              <w:rPr>
                <w:b/>
                <w:sz w:val="24"/>
                <w:szCs w:val="24"/>
              </w:rPr>
              <w:t>liner closed with a TIG</w:t>
            </w:r>
            <w:r w:rsidR="008906CE">
              <w:rPr>
                <w:b/>
                <w:sz w:val="24"/>
                <w:szCs w:val="24"/>
              </w:rPr>
              <w:t xml:space="preserve">HT knot </w:t>
            </w:r>
            <w:r w:rsidR="008906CE">
              <w:rPr>
                <w:sz w:val="24"/>
                <w:szCs w:val="24"/>
              </w:rPr>
              <w:t>when shipping</w:t>
            </w:r>
            <w:r w:rsidRPr="001777FB">
              <w:rPr>
                <w:sz w:val="24"/>
                <w:szCs w:val="24"/>
              </w:rPr>
              <w:t xml:space="preserve"> container is no more than 2/</w:t>
            </w:r>
            <w:r w:rsidR="008906CE">
              <w:rPr>
                <w:sz w:val="24"/>
                <w:szCs w:val="24"/>
              </w:rPr>
              <w:t>3 full, and close the lid securely</w:t>
            </w:r>
            <w:r w:rsidRPr="001777FB">
              <w:rPr>
                <w:sz w:val="24"/>
                <w:szCs w:val="24"/>
              </w:rPr>
              <w:t xml:space="preserve"> (If too full, liner is difficult to tie).</w:t>
            </w:r>
          </w:p>
        </w:tc>
      </w:tr>
      <w:tr w:rsidR="00A003BB" w:rsidRPr="001777FB" w:rsidTr="00311DE9">
        <w:tc>
          <w:tcPr>
            <w:tcW w:w="1883" w:type="dxa"/>
          </w:tcPr>
          <w:p w:rsidR="00315221" w:rsidRPr="00315221" w:rsidRDefault="00315221" w:rsidP="00315221">
            <w:pPr>
              <w:rPr>
                <w:b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Facilities</w:t>
            </w:r>
          </w:p>
          <w:p w:rsidR="00A003BB" w:rsidRPr="001777FB" w:rsidRDefault="00315221" w:rsidP="00315221">
            <w:pPr>
              <w:rPr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Services Staff</w:t>
            </w:r>
          </w:p>
        </w:tc>
        <w:tc>
          <w:tcPr>
            <w:tcW w:w="8053" w:type="dxa"/>
          </w:tcPr>
          <w:p w:rsidR="00A003BB" w:rsidRPr="001777FB" w:rsidRDefault="00CD1AB7" w:rsidP="00A003BB">
            <w:pPr>
              <w:rPr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Visually inspect the container.</w:t>
            </w:r>
            <w:r w:rsidR="008906CE">
              <w:rPr>
                <w:sz w:val="24"/>
                <w:szCs w:val="24"/>
              </w:rPr>
              <w:t xml:space="preserve"> (If outer shipping container is damaged</w:t>
            </w:r>
            <w:r w:rsidR="007A53BE">
              <w:rPr>
                <w:sz w:val="24"/>
                <w:szCs w:val="24"/>
              </w:rPr>
              <w:t xml:space="preserve"> or visibly </w:t>
            </w:r>
            <w:r w:rsidRPr="001777FB">
              <w:rPr>
                <w:sz w:val="24"/>
                <w:szCs w:val="24"/>
              </w:rPr>
              <w:t xml:space="preserve">soiled, transfer waste to a new </w:t>
            </w:r>
            <w:r w:rsidR="008906CE">
              <w:rPr>
                <w:sz w:val="24"/>
                <w:szCs w:val="24"/>
              </w:rPr>
              <w:t xml:space="preserve">shipping </w:t>
            </w:r>
            <w:r w:rsidRPr="001777FB">
              <w:rPr>
                <w:sz w:val="24"/>
                <w:szCs w:val="24"/>
              </w:rPr>
              <w:t>container).</w:t>
            </w:r>
          </w:p>
        </w:tc>
      </w:tr>
      <w:tr w:rsidR="00A003BB" w:rsidRPr="001777FB" w:rsidTr="00311DE9">
        <w:tc>
          <w:tcPr>
            <w:tcW w:w="1883" w:type="dxa"/>
          </w:tcPr>
          <w:p w:rsidR="00315221" w:rsidRPr="00315221" w:rsidRDefault="00315221" w:rsidP="00315221">
            <w:pPr>
              <w:rPr>
                <w:b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Facilities</w:t>
            </w:r>
          </w:p>
          <w:p w:rsidR="00A003BB" w:rsidRPr="001777FB" w:rsidRDefault="00315221" w:rsidP="00315221">
            <w:pPr>
              <w:rPr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Services Staff</w:t>
            </w:r>
          </w:p>
        </w:tc>
        <w:tc>
          <w:tcPr>
            <w:tcW w:w="8053" w:type="dxa"/>
          </w:tcPr>
          <w:p w:rsidR="00A003BB" w:rsidRPr="001777FB" w:rsidRDefault="00A003BB" w:rsidP="00A003BB">
            <w:pPr>
              <w:rPr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 xml:space="preserve">Affix the </w:t>
            </w:r>
            <w:r w:rsidRPr="007B71AB">
              <w:rPr>
                <w:b/>
                <w:i/>
                <w:sz w:val="24"/>
                <w:szCs w:val="24"/>
              </w:rPr>
              <w:t xml:space="preserve">white </w:t>
            </w:r>
            <w:r w:rsidRPr="001777FB">
              <w:rPr>
                <w:b/>
                <w:sz w:val="24"/>
                <w:szCs w:val="24"/>
              </w:rPr>
              <w:t>RMW label</w:t>
            </w:r>
            <w:r w:rsidRPr="001777FB">
              <w:rPr>
                <w:sz w:val="24"/>
                <w:szCs w:val="24"/>
              </w:rPr>
              <w:t xml:space="preserve"> provided by contracted waste carrier. </w:t>
            </w:r>
          </w:p>
          <w:p w:rsidR="00A003BB" w:rsidRPr="001777FB" w:rsidRDefault="00A003BB" w:rsidP="00A003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777FB">
              <w:rPr>
                <w:sz w:val="24"/>
                <w:szCs w:val="24"/>
              </w:rPr>
              <w:t>White labels are generally used for solid &amp; sharps waste</w:t>
            </w:r>
          </w:p>
          <w:p w:rsidR="00A003BB" w:rsidRPr="001777FB" w:rsidRDefault="00A003BB" w:rsidP="00A003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777FB">
              <w:rPr>
                <w:sz w:val="24"/>
                <w:szCs w:val="24"/>
              </w:rPr>
              <w:t>Yellow or orange/red labels</w:t>
            </w:r>
            <w:r w:rsidRPr="001777FB">
              <w:rPr>
                <w:b/>
                <w:sz w:val="24"/>
                <w:szCs w:val="24"/>
              </w:rPr>
              <w:t xml:space="preserve"> </w:t>
            </w:r>
            <w:r w:rsidRPr="001777FB">
              <w:rPr>
                <w:sz w:val="24"/>
                <w:szCs w:val="24"/>
              </w:rPr>
              <w:t xml:space="preserve">are generally for incineration waste (e.g. animal carcasses, human </w:t>
            </w:r>
            <w:r w:rsidR="00A01B21">
              <w:rPr>
                <w:sz w:val="24"/>
                <w:szCs w:val="24"/>
              </w:rPr>
              <w:t xml:space="preserve">pathological waste, and trace </w:t>
            </w:r>
            <w:r w:rsidRPr="001777FB">
              <w:rPr>
                <w:sz w:val="24"/>
                <w:szCs w:val="24"/>
              </w:rPr>
              <w:t>chemo waste).</w:t>
            </w:r>
          </w:p>
        </w:tc>
      </w:tr>
      <w:tr w:rsidR="00A003BB" w:rsidRPr="001777FB" w:rsidTr="00311DE9">
        <w:tc>
          <w:tcPr>
            <w:tcW w:w="1883" w:type="dxa"/>
          </w:tcPr>
          <w:p w:rsidR="00315221" w:rsidRPr="00315221" w:rsidRDefault="00315221" w:rsidP="00315221">
            <w:pPr>
              <w:rPr>
                <w:b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Facilities</w:t>
            </w:r>
          </w:p>
          <w:p w:rsidR="00A003BB" w:rsidRPr="001777FB" w:rsidRDefault="00315221" w:rsidP="00315221">
            <w:pPr>
              <w:rPr>
                <w:b/>
                <w:color w:val="7030A0"/>
                <w:sz w:val="24"/>
                <w:szCs w:val="24"/>
              </w:rPr>
            </w:pPr>
            <w:r w:rsidRPr="00315221">
              <w:rPr>
                <w:b/>
                <w:sz w:val="24"/>
                <w:szCs w:val="24"/>
              </w:rPr>
              <w:t>Services Staff</w:t>
            </w:r>
          </w:p>
        </w:tc>
        <w:tc>
          <w:tcPr>
            <w:tcW w:w="8053" w:type="dxa"/>
          </w:tcPr>
          <w:p w:rsidR="00A003BB" w:rsidRPr="001777FB" w:rsidRDefault="00A003BB" w:rsidP="00A01B21">
            <w:pPr>
              <w:rPr>
                <w:b/>
                <w:sz w:val="24"/>
                <w:szCs w:val="24"/>
              </w:rPr>
            </w:pPr>
            <w:r w:rsidRPr="001777FB">
              <w:rPr>
                <w:b/>
                <w:sz w:val="24"/>
                <w:szCs w:val="24"/>
              </w:rPr>
              <w:t>Offering the waste for pick-up</w:t>
            </w:r>
            <w:r w:rsidRPr="001777FB">
              <w:rPr>
                <w:sz w:val="24"/>
                <w:szCs w:val="24"/>
              </w:rPr>
              <w:t xml:space="preserve">. At time of pick-up, a trained </w:t>
            </w:r>
            <w:r w:rsidR="00A01B21">
              <w:rPr>
                <w:sz w:val="24"/>
                <w:szCs w:val="24"/>
              </w:rPr>
              <w:t xml:space="preserve">Facilities Services </w:t>
            </w:r>
            <w:r w:rsidRPr="001777FB">
              <w:rPr>
                <w:sz w:val="24"/>
                <w:szCs w:val="24"/>
              </w:rPr>
              <w:t>staff member</w:t>
            </w:r>
            <w:r w:rsidR="0010798C">
              <w:rPr>
                <w:sz w:val="24"/>
                <w:szCs w:val="24"/>
              </w:rPr>
              <w:t xml:space="preserve"> will</w:t>
            </w:r>
            <w:r w:rsidR="00700FE4">
              <w:rPr>
                <w:sz w:val="24"/>
                <w:szCs w:val="24"/>
              </w:rPr>
              <w:t xml:space="preserve"> escort </w:t>
            </w:r>
            <w:r w:rsidR="0010798C">
              <w:rPr>
                <w:sz w:val="24"/>
                <w:szCs w:val="24"/>
              </w:rPr>
              <w:t xml:space="preserve">the </w:t>
            </w:r>
            <w:r w:rsidR="00A01B21">
              <w:rPr>
                <w:sz w:val="24"/>
                <w:szCs w:val="24"/>
              </w:rPr>
              <w:t xml:space="preserve">contracted </w:t>
            </w:r>
            <w:r w:rsidR="0010798C">
              <w:rPr>
                <w:sz w:val="24"/>
                <w:szCs w:val="24"/>
              </w:rPr>
              <w:t>waste carrier driver</w:t>
            </w:r>
            <w:r w:rsidR="00700FE4">
              <w:rPr>
                <w:sz w:val="24"/>
                <w:szCs w:val="24"/>
              </w:rPr>
              <w:t xml:space="preserve"> to the secured storage area</w:t>
            </w:r>
            <w:r w:rsidR="0010798C">
              <w:rPr>
                <w:sz w:val="24"/>
                <w:szCs w:val="24"/>
              </w:rPr>
              <w:t xml:space="preserve"> and </w:t>
            </w:r>
            <w:r w:rsidRPr="001777FB">
              <w:rPr>
                <w:sz w:val="24"/>
                <w:szCs w:val="24"/>
              </w:rPr>
              <w:t>together</w:t>
            </w:r>
            <w:r w:rsidR="0010798C">
              <w:rPr>
                <w:sz w:val="24"/>
                <w:szCs w:val="24"/>
              </w:rPr>
              <w:t xml:space="preserve"> they will</w:t>
            </w:r>
            <w:r w:rsidRPr="001777FB">
              <w:rPr>
                <w:sz w:val="24"/>
                <w:szCs w:val="24"/>
              </w:rPr>
              <w:t xml:space="preserve"> verify the type and number of </w:t>
            </w:r>
            <w:r w:rsidR="008906CE">
              <w:rPr>
                <w:sz w:val="24"/>
                <w:szCs w:val="24"/>
              </w:rPr>
              <w:t xml:space="preserve">shipping </w:t>
            </w:r>
            <w:r w:rsidRPr="001777FB">
              <w:rPr>
                <w:sz w:val="24"/>
                <w:szCs w:val="24"/>
              </w:rPr>
              <w:t>containers to be transported. Both will sign the shipping papers (e</w:t>
            </w:r>
            <w:r w:rsidR="0010798C">
              <w:rPr>
                <w:sz w:val="24"/>
                <w:szCs w:val="24"/>
              </w:rPr>
              <w:t xml:space="preserve">ither electronic or hard copy).  </w:t>
            </w:r>
            <w:r w:rsidRPr="001777FB">
              <w:rPr>
                <w:sz w:val="24"/>
                <w:szCs w:val="24"/>
              </w:rPr>
              <w:t>A copy of the signed receipt/pap</w:t>
            </w:r>
            <w:r w:rsidR="00A01B21">
              <w:rPr>
                <w:sz w:val="24"/>
                <w:szCs w:val="24"/>
              </w:rPr>
              <w:t xml:space="preserve">er will be kept for 3 years at UWB </w:t>
            </w:r>
            <w:r w:rsidR="0010798C">
              <w:rPr>
                <w:sz w:val="24"/>
                <w:szCs w:val="24"/>
              </w:rPr>
              <w:t>Facilities Services in the Che</w:t>
            </w:r>
            <w:r w:rsidR="00700FE4">
              <w:rPr>
                <w:sz w:val="24"/>
                <w:szCs w:val="24"/>
              </w:rPr>
              <w:t>mical Collection Request binder which is administered by the Building &amp; Grounds Supervisor.</w:t>
            </w:r>
          </w:p>
        </w:tc>
      </w:tr>
    </w:tbl>
    <w:p w:rsidR="00CE7D00" w:rsidRPr="00CE7D00" w:rsidRDefault="00CE7D00" w:rsidP="00A003BB">
      <w:pPr>
        <w:jc w:val="center"/>
        <w:rPr>
          <w:b/>
          <w:sz w:val="28"/>
          <w:szCs w:val="28"/>
        </w:rPr>
      </w:pPr>
      <w:r w:rsidRPr="00CE7D00">
        <w:rPr>
          <w:b/>
          <w:sz w:val="28"/>
          <w:szCs w:val="28"/>
        </w:rPr>
        <w:lastRenderedPageBreak/>
        <w:t>Site Specific SOP Training/</w:t>
      </w:r>
      <w:r w:rsidR="00A003BB" w:rsidRPr="00CE7D00">
        <w:rPr>
          <w:b/>
          <w:sz w:val="28"/>
          <w:szCs w:val="28"/>
        </w:rPr>
        <w:t>Review</w:t>
      </w:r>
      <w:r w:rsidRPr="00CE7D00">
        <w:rPr>
          <w:b/>
          <w:sz w:val="28"/>
          <w:szCs w:val="28"/>
        </w:rPr>
        <w:t xml:space="preserve"> of</w:t>
      </w:r>
    </w:p>
    <w:p w:rsidR="00A003BB" w:rsidRDefault="00CE7D00" w:rsidP="00A003BB">
      <w:pPr>
        <w:jc w:val="center"/>
        <w:rPr>
          <w:b/>
          <w:sz w:val="28"/>
          <w:szCs w:val="28"/>
        </w:rPr>
      </w:pPr>
      <w:r w:rsidRPr="00CE7D00">
        <w:rPr>
          <w:b/>
          <w:sz w:val="28"/>
          <w:szCs w:val="28"/>
        </w:rPr>
        <w:t xml:space="preserve">  Regulated Medical Waste (RMW) Shipping Procedures</w:t>
      </w:r>
    </w:p>
    <w:p w:rsidR="00CE7D00" w:rsidRDefault="00356635" w:rsidP="00A003BB">
      <w:pPr>
        <w:jc w:val="center"/>
        <w:rPr>
          <w:szCs w:val="24"/>
        </w:rPr>
      </w:pPr>
      <w:r>
        <w:rPr>
          <w:szCs w:val="24"/>
        </w:rPr>
        <w:t xml:space="preserve">(Required for all staff placing </w:t>
      </w:r>
      <w:r w:rsidR="00CE7D00">
        <w:rPr>
          <w:szCs w:val="24"/>
        </w:rPr>
        <w:t>RMW into shipping containers</w:t>
      </w:r>
      <w:r w:rsidR="00DE4A4C">
        <w:rPr>
          <w:szCs w:val="24"/>
        </w:rPr>
        <w:t xml:space="preserve"> at minimum every 3 years</w:t>
      </w:r>
      <w:r>
        <w:rPr>
          <w:szCs w:val="24"/>
        </w:rPr>
        <w:t>)</w:t>
      </w:r>
      <w:r w:rsidR="00CE7D00">
        <w:rPr>
          <w:szCs w:val="24"/>
        </w:rPr>
        <w:t>.</w:t>
      </w:r>
    </w:p>
    <w:p w:rsidR="00CE7D00" w:rsidRDefault="00CE7D00" w:rsidP="00A003BB">
      <w:pPr>
        <w:jc w:val="center"/>
        <w:rPr>
          <w:szCs w:val="24"/>
        </w:rPr>
      </w:pPr>
    </w:p>
    <w:p w:rsidR="00CE7D00" w:rsidRPr="00356635" w:rsidRDefault="00356635" w:rsidP="00A003BB">
      <w:pPr>
        <w:jc w:val="center"/>
        <w:rPr>
          <w:i/>
          <w:szCs w:val="24"/>
        </w:rPr>
      </w:pPr>
      <w:r w:rsidRPr="00356635">
        <w:rPr>
          <w:i/>
          <w:szCs w:val="24"/>
        </w:rPr>
        <w:t xml:space="preserve">Note: </w:t>
      </w:r>
      <w:r w:rsidR="00CE7D00" w:rsidRPr="00356635">
        <w:rPr>
          <w:i/>
          <w:szCs w:val="24"/>
        </w:rPr>
        <w:t>Staff responsible for Outer Packaging of Waste procedures must also complete the EH&amp;S training class “Regulated Medical Waste Shipping via Contracted Carrier</w:t>
      </w:r>
      <w:r w:rsidRPr="00356635">
        <w:rPr>
          <w:i/>
          <w:szCs w:val="24"/>
        </w:rPr>
        <w:t>.</w:t>
      </w:r>
      <w:r w:rsidR="00CE7D00" w:rsidRPr="00356635">
        <w:rPr>
          <w:i/>
          <w:szCs w:val="24"/>
        </w:rPr>
        <w:t>”</w:t>
      </w:r>
    </w:p>
    <w:p w:rsidR="00A003BB" w:rsidRDefault="00A003BB" w:rsidP="00A003BB">
      <w:pPr>
        <w:jc w:val="center"/>
        <w:rPr>
          <w:b/>
        </w:rPr>
      </w:pP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3316"/>
        <w:gridCol w:w="3316"/>
        <w:gridCol w:w="3316"/>
      </w:tblGrid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  <w:r>
              <w:rPr>
                <w:b/>
              </w:rPr>
              <w:t>Training</w:t>
            </w:r>
            <w:r w:rsidR="00DE4A4C">
              <w:rPr>
                <w:b/>
              </w:rPr>
              <w:t>/Review</w:t>
            </w:r>
            <w:r>
              <w:rPr>
                <w:b/>
              </w:rPr>
              <w:t xml:space="preserve"> Date</w:t>
            </w: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33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  <w:tr w:rsidR="00A003BB" w:rsidTr="00DF2840">
        <w:trPr>
          <w:trHeight w:val="604"/>
        </w:trPr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  <w:tc>
          <w:tcPr>
            <w:tcW w:w="3316" w:type="dxa"/>
          </w:tcPr>
          <w:p w:rsidR="00A003BB" w:rsidRDefault="00A003BB" w:rsidP="00DF2840">
            <w:pPr>
              <w:jc w:val="center"/>
              <w:rPr>
                <w:b/>
              </w:rPr>
            </w:pPr>
          </w:p>
        </w:tc>
      </w:tr>
    </w:tbl>
    <w:p w:rsidR="006613F9" w:rsidRDefault="006613F9" w:rsidP="00265511"/>
    <w:sectPr w:rsidR="006613F9" w:rsidSect="00700FE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65" w:rsidRDefault="00C04265">
      <w:r>
        <w:separator/>
      </w:r>
    </w:p>
  </w:endnote>
  <w:endnote w:type="continuationSeparator" w:id="0">
    <w:p w:rsidR="00C04265" w:rsidRDefault="00C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48" w:rsidRDefault="00824702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</w:p>
  <w:p w:rsidR="009F5048" w:rsidRDefault="00824702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</w:p>
  <w:p w:rsidR="009F5048" w:rsidRDefault="005A7D12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color w:val="313232"/>
        <w:sz w:val="16"/>
      </w:rPr>
    </w:pPr>
    <w:r>
      <w:rPr>
        <w:noProof/>
        <w:color w:val="313232"/>
      </w:rPr>
      <w:drawing>
        <wp:anchor distT="0" distB="0" distL="114300" distR="114300" simplePos="0" relativeHeight="251662336" behindDoc="0" locked="0" layoutInCell="1" allowOverlap="1" wp14:anchorId="722C89E6" wp14:editId="31B3254E">
          <wp:simplePos x="0" y="0"/>
          <wp:positionH relativeFrom="column">
            <wp:posOffset>-451485</wp:posOffset>
          </wp:positionH>
          <wp:positionV relativeFrom="paragraph">
            <wp:posOffset>94615</wp:posOffset>
          </wp:positionV>
          <wp:extent cx="381000" cy="257810"/>
          <wp:effectExtent l="0" t="0" r="0" b="8890"/>
          <wp:wrapNone/>
          <wp:docPr id="4" name="Picture 0" descr="UW_W Logo_sm_no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W_W Logo_sm_nore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61B9" w:rsidRDefault="005A7D12" w:rsidP="009F5048">
    <w:pPr>
      <w:pStyle w:val="Footer"/>
      <w:tabs>
        <w:tab w:val="clear" w:pos="4320"/>
        <w:tab w:val="clear" w:pos="8640"/>
        <w:tab w:val="right" w:pos="9360"/>
      </w:tabs>
      <w:ind w:left="-720"/>
      <w:rPr>
        <w:rFonts w:ascii="Gill Sans MT" w:hAnsi="Gill Sans MT"/>
        <w:sz w:val="18"/>
      </w:rPr>
    </w:pPr>
    <w:r>
      <w:rPr>
        <w:color w:val="313232"/>
        <w:sz w:val="16"/>
      </w:rPr>
      <w:tab/>
      <w:t>T287 HSB  Box 357165</w:t>
    </w:r>
    <w:r w:rsidRPr="00731772">
      <w:rPr>
        <w:color w:val="313232"/>
        <w:sz w:val="16"/>
      </w:rPr>
      <w:t xml:space="preserve">  Seattle, Washington 98195-4400  |  206.</w:t>
    </w:r>
    <w:r>
      <w:rPr>
        <w:color w:val="313232"/>
        <w:sz w:val="16"/>
      </w:rPr>
      <w:t>221.7770  FAX 206.221.3068</w:t>
    </w:r>
    <w:r w:rsidRPr="00731772">
      <w:rPr>
        <w:color w:val="313232"/>
        <w:sz w:val="16"/>
      </w:rPr>
      <w:t xml:space="preserve">  |  www.ehs.washington.edu</w:t>
    </w:r>
    <w:r>
      <w:rPr>
        <w:noProof/>
        <w:color w:val="313232"/>
      </w:rPr>
      <w:t xml:space="preserve"> </w:t>
    </w:r>
    <w:r>
      <w:rPr>
        <w:rFonts w:ascii="Gill Sans MT" w:hAnsi="Gill Sans MT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5B" w:rsidRDefault="00824702" w:rsidP="004D195B">
    <w:pPr>
      <w:pStyle w:val="Footer"/>
      <w:tabs>
        <w:tab w:val="clear" w:pos="4320"/>
        <w:tab w:val="clear" w:pos="8640"/>
        <w:tab w:val="right" w:pos="9187"/>
      </w:tabs>
      <w:ind w:left="-990"/>
      <w:jc w:val="center"/>
      <w:rPr>
        <w:rFonts w:cs="Arial"/>
        <w:sz w:val="16"/>
      </w:rPr>
    </w:pPr>
  </w:p>
  <w:p w:rsidR="007361B9" w:rsidRPr="004D195B" w:rsidRDefault="005A7D12" w:rsidP="004D195B">
    <w:pPr>
      <w:pStyle w:val="Footer"/>
      <w:tabs>
        <w:tab w:val="clear" w:pos="4320"/>
        <w:tab w:val="clear" w:pos="8640"/>
        <w:tab w:val="right" w:pos="9720"/>
      </w:tabs>
      <w:ind w:left="-990"/>
      <w:jc w:val="center"/>
      <w:rPr>
        <w:rFonts w:cs="Arial"/>
        <w:sz w:val="16"/>
      </w:rPr>
    </w:pPr>
    <w:r>
      <w:rPr>
        <w:rFonts w:cs="Arial"/>
        <w:sz w:val="16"/>
      </w:rPr>
      <w:tab/>
    </w:r>
  </w:p>
  <w:p w:rsidR="007361B9" w:rsidRDefault="005A7D12" w:rsidP="007361B9">
    <w:pPr>
      <w:pStyle w:val="Footer"/>
      <w:tabs>
        <w:tab w:val="clear" w:pos="4320"/>
        <w:tab w:val="clear" w:pos="8640"/>
        <w:tab w:val="right" w:pos="9187"/>
      </w:tabs>
      <w:ind w:left="-1440" w:right="-450"/>
      <w:jc w:val="center"/>
      <w:rPr>
        <w:color w:val="313232"/>
        <w:sz w:val="16"/>
      </w:rPr>
    </w:pPr>
    <w:r>
      <w:rPr>
        <w:noProof/>
        <w:color w:val="313232"/>
      </w:rPr>
      <w:drawing>
        <wp:anchor distT="0" distB="0" distL="114300" distR="114300" simplePos="0" relativeHeight="251659264" behindDoc="0" locked="0" layoutInCell="1" allowOverlap="1" wp14:anchorId="79BCEBEC" wp14:editId="5FB3A4A9">
          <wp:simplePos x="0" y="0"/>
          <wp:positionH relativeFrom="column">
            <wp:posOffset>-457200</wp:posOffset>
          </wp:positionH>
          <wp:positionV relativeFrom="paragraph">
            <wp:posOffset>30480</wp:posOffset>
          </wp:positionV>
          <wp:extent cx="381000" cy="257810"/>
          <wp:effectExtent l="19050" t="0" r="0" b="0"/>
          <wp:wrapNone/>
          <wp:docPr id="2" name="Picture 0" descr="UW_W Logo_sm_no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W_W Logo_sm_nore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313232"/>
        <w:sz w:val="16"/>
      </w:rPr>
      <w:t xml:space="preserve">                 </w:t>
    </w:r>
  </w:p>
  <w:p w:rsidR="007361B9" w:rsidRPr="00731772" w:rsidRDefault="005A7D12" w:rsidP="00AA6FDF">
    <w:pPr>
      <w:pStyle w:val="Footer"/>
      <w:tabs>
        <w:tab w:val="clear" w:pos="4320"/>
        <w:tab w:val="clear" w:pos="8640"/>
        <w:tab w:val="left" w:pos="360"/>
      </w:tabs>
      <w:ind w:left="-1440" w:right="-720"/>
      <w:jc w:val="center"/>
      <w:rPr>
        <w:color w:val="313232"/>
        <w:sz w:val="16"/>
      </w:rPr>
    </w:pPr>
    <w:r>
      <w:rPr>
        <w:color w:val="313232"/>
        <w:sz w:val="16"/>
      </w:rPr>
      <w:tab/>
      <w:t xml:space="preserve"> T287 HSB  Box 357165</w:t>
    </w:r>
    <w:r w:rsidRPr="00731772">
      <w:rPr>
        <w:color w:val="313232"/>
        <w:sz w:val="16"/>
      </w:rPr>
      <w:t xml:space="preserve">  Seattle, Washington 98195-4400  |  206.</w:t>
    </w:r>
    <w:r>
      <w:rPr>
        <w:color w:val="313232"/>
        <w:sz w:val="16"/>
      </w:rPr>
      <w:t>221.7770  FAX 206.221.3068</w:t>
    </w:r>
    <w:r w:rsidRPr="00731772">
      <w:rPr>
        <w:color w:val="313232"/>
        <w:sz w:val="16"/>
      </w:rPr>
      <w:t xml:space="preserve">  |  www.ehs.washington.edu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65" w:rsidRDefault="00C04265">
      <w:r>
        <w:separator/>
      </w:r>
    </w:p>
  </w:footnote>
  <w:footnote w:type="continuationSeparator" w:id="0">
    <w:p w:rsidR="00C04265" w:rsidRDefault="00C0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B9" w:rsidRDefault="005A7D12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5F3CC66" wp14:editId="24F550E1">
          <wp:simplePos x="0" y="0"/>
          <wp:positionH relativeFrom="column">
            <wp:posOffset>3763222</wp:posOffset>
          </wp:positionH>
          <wp:positionV relativeFrom="paragraph">
            <wp:posOffset>-159277</wp:posOffset>
          </wp:positionV>
          <wp:extent cx="2861310" cy="363855"/>
          <wp:effectExtent l="0" t="0" r="0" b="0"/>
          <wp:wrapNone/>
          <wp:docPr id="1" name="Picture 22" descr="EHS_logo_t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HS_logo_tes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361B9" w:rsidRDefault="00824702">
    <w:pPr>
      <w:pStyle w:val="Header"/>
      <w:tabs>
        <w:tab w:val="clear" w:pos="4320"/>
        <w:tab w:val="clear" w:pos="8640"/>
        <w:tab w:val="right" w:pos="9360"/>
      </w:tabs>
    </w:pPr>
  </w:p>
  <w:p w:rsidR="007361B9" w:rsidRDefault="005A7D12">
    <w:pPr>
      <w:pStyle w:val="Header"/>
      <w:tabs>
        <w:tab w:val="clear" w:pos="4320"/>
        <w:tab w:val="clear" w:pos="8640"/>
        <w:tab w:val="right" w:pos="9360"/>
      </w:tabs>
      <w:rPr>
        <w:rFonts w:ascii="Gill Sans MT" w:hAnsi="Gill Sans MT"/>
        <w:sz w:val="2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B9" w:rsidRDefault="005A7D12" w:rsidP="007361B9">
    <w:pPr>
      <w:pStyle w:val="Header"/>
      <w:tabs>
        <w:tab w:val="clear" w:pos="4320"/>
        <w:tab w:val="clear" w:pos="8640"/>
        <w:tab w:val="right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0AAF8A1" wp14:editId="7A11036A">
          <wp:simplePos x="0" y="0"/>
          <wp:positionH relativeFrom="column">
            <wp:posOffset>3581400</wp:posOffset>
          </wp:positionH>
          <wp:positionV relativeFrom="paragraph">
            <wp:posOffset>33655</wp:posOffset>
          </wp:positionV>
          <wp:extent cx="2861310" cy="363855"/>
          <wp:effectExtent l="19050" t="0" r="0" b="0"/>
          <wp:wrapNone/>
          <wp:docPr id="3" name="Picture 22" descr="EHS_logo_tes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HS_logo_tes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361B9" w:rsidRDefault="00824702">
    <w:pPr>
      <w:pStyle w:val="Header"/>
      <w:tabs>
        <w:tab w:val="clear" w:pos="4320"/>
        <w:tab w:val="clear" w:pos="8640"/>
        <w:tab w:val="right" w:pos="9360"/>
      </w:tabs>
    </w:pPr>
  </w:p>
  <w:p w:rsidR="007361B9" w:rsidRDefault="00824702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242F"/>
    <w:multiLevelType w:val="hybridMultilevel"/>
    <w:tmpl w:val="E8CC8504"/>
    <w:lvl w:ilvl="0" w:tplc="17B6F9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482371"/>
    <w:multiLevelType w:val="hybridMultilevel"/>
    <w:tmpl w:val="B5E4782E"/>
    <w:lvl w:ilvl="0" w:tplc="C99A952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F5BAF"/>
    <w:multiLevelType w:val="hybridMultilevel"/>
    <w:tmpl w:val="AFC6DACA"/>
    <w:lvl w:ilvl="0" w:tplc="F6AE1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508A"/>
    <w:multiLevelType w:val="hybridMultilevel"/>
    <w:tmpl w:val="1AB61628"/>
    <w:lvl w:ilvl="0" w:tplc="A36CE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BB"/>
    <w:rsid w:val="000131A9"/>
    <w:rsid w:val="00023E24"/>
    <w:rsid w:val="00050177"/>
    <w:rsid w:val="0010798C"/>
    <w:rsid w:val="00123D4E"/>
    <w:rsid w:val="00130944"/>
    <w:rsid w:val="00164AF4"/>
    <w:rsid w:val="0017583D"/>
    <w:rsid w:val="001777FB"/>
    <w:rsid w:val="00181237"/>
    <w:rsid w:val="001C1347"/>
    <w:rsid w:val="001D0068"/>
    <w:rsid w:val="00265511"/>
    <w:rsid w:val="00311DE9"/>
    <w:rsid w:val="00315221"/>
    <w:rsid w:val="00356635"/>
    <w:rsid w:val="00356BC0"/>
    <w:rsid w:val="0039389D"/>
    <w:rsid w:val="003B45BB"/>
    <w:rsid w:val="003C7C95"/>
    <w:rsid w:val="00406044"/>
    <w:rsid w:val="004108D2"/>
    <w:rsid w:val="00444335"/>
    <w:rsid w:val="00491BD6"/>
    <w:rsid w:val="004E69A4"/>
    <w:rsid w:val="00555ED5"/>
    <w:rsid w:val="00560026"/>
    <w:rsid w:val="005A1F0C"/>
    <w:rsid w:val="005A7D12"/>
    <w:rsid w:val="005C50D4"/>
    <w:rsid w:val="005F35EB"/>
    <w:rsid w:val="005F7B2C"/>
    <w:rsid w:val="006065B3"/>
    <w:rsid w:val="006545DA"/>
    <w:rsid w:val="006613F9"/>
    <w:rsid w:val="00666492"/>
    <w:rsid w:val="00700FE4"/>
    <w:rsid w:val="00722EF2"/>
    <w:rsid w:val="0074145F"/>
    <w:rsid w:val="007977C5"/>
    <w:rsid w:val="007A02D9"/>
    <w:rsid w:val="007A53BE"/>
    <w:rsid w:val="007A73C3"/>
    <w:rsid w:val="007B03C4"/>
    <w:rsid w:val="007B71AB"/>
    <w:rsid w:val="007E3116"/>
    <w:rsid w:val="00824702"/>
    <w:rsid w:val="008906CE"/>
    <w:rsid w:val="008B1A5A"/>
    <w:rsid w:val="00962F35"/>
    <w:rsid w:val="009F502F"/>
    <w:rsid w:val="00A003BB"/>
    <w:rsid w:val="00A01B21"/>
    <w:rsid w:val="00A24BEC"/>
    <w:rsid w:val="00A66BFF"/>
    <w:rsid w:val="00A7642E"/>
    <w:rsid w:val="00A83E26"/>
    <w:rsid w:val="00A91B03"/>
    <w:rsid w:val="00AD6927"/>
    <w:rsid w:val="00AE36E4"/>
    <w:rsid w:val="00AE4CD9"/>
    <w:rsid w:val="00AE688B"/>
    <w:rsid w:val="00AF6057"/>
    <w:rsid w:val="00B21A99"/>
    <w:rsid w:val="00B23210"/>
    <w:rsid w:val="00B41B0C"/>
    <w:rsid w:val="00BB33EB"/>
    <w:rsid w:val="00BB5460"/>
    <w:rsid w:val="00BE162D"/>
    <w:rsid w:val="00C04265"/>
    <w:rsid w:val="00C35544"/>
    <w:rsid w:val="00C53CE0"/>
    <w:rsid w:val="00CD1AB7"/>
    <w:rsid w:val="00CE7D00"/>
    <w:rsid w:val="00D31422"/>
    <w:rsid w:val="00D34FFF"/>
    <w:rsid w:val="00D46CC1"/>
    <w:rsid w:val="00D57E25"/>
    <w:rsid w:val="00DA65D7"/>
    <w:rsid w:val="00DA74BD"/>
    <w:rsid w:val="00DE4A4C"/>
    <w:rsid w:val="00E04274"/>
    <w:rsid w:val="00E4551B"/>
    <w:rsid w:val="00E75AAE"/>
    <w:rsid w:val="00EA465F"/>
    <w:rsid w:val="00EF22E5"/>
    <w:rsid w:val="00F31973"/>
    <w:rsid w:val="00F4644B"/>
    <w:rsid w:val="00F51D0C"/>
    <w:rsid w:val="00F621D8"/>
    <w:rsid w:val="00F63DC8"/>
    <w:rsid w:val="00F843B7"/>
    <w:rsid w:val="00F84F7B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DE94F-CD0E-42D3-9F63-1E2F045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BB"/>
    <w:pPr>
      <w:ind w:left="720"/>
      <w:contextualSpacing/>
    </w:pPr>
  </w:style>
  <w:style w:type="paragraph" w:styleId="Header">
    <w:name w:val="header"/>
    <w:basedOn w:val="Normal"/>
    <w:link w:val="Head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A003B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rsid w:val="00A003BB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A003BB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A003B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h2@uw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D6BF-9690-4178-B8EE-45C728CB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Arnesen</dc:creator>
  <cp:lastModifiedBy>Christy Cherrier</cp:lastModifiedBy>
  <cp:revision>7</cp:revision>
  <cp:lastPrinted>2013-05-10T18:08:00Z</cp:lastPrinted>
  <dcterms:created xsi:type="dcterms:W3CDTF">2013-10-29T16:18:00Z</dcterms:created>
  <dcterms:modified xsi:type="dcterms:W3CDTF">2016-07-14T16:38:00Z</dcterms:modified>
</cp:coreProperties>
</file>