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85484" w14:textId="55689E06" w:rsidR="00086BD7" w:rsidRPr="00B70FB4" w:rsidRDefault="004B2D6F" w:rsidP="00323FE8">
      <w:pPr>
        <w:pStyle w:val="Heading1"/>
      </w:pPr>
      <w:r>
        <w:t>Roles and Responsibilities for</w:t>
      </w:r>
      <w:r w:rsidR="00855A1E">
        <w:t xml:space="preserve"> UW Bothell Faculty </w:t>
      </w:r>
      <w:r>
        <w:t>with</w:t>
      </w:r>
      <w:r w:rsidR="006377B2">
        <w:t xml:space="preserve"> Externally Sponsored </w:t>
      </w:r>
      <w:r>
        <w:t>Grants</w:t>
      </w:r>
    </w:p>
    <w:p w14:paraId="021F37B4" w14:textId="77777777" w:rsidR="00086BD7" w:rsidRDefault="00086BD7" w:rsidP="00086BD7"/>
    <w:p w14:paraId="40D68B3F" w14:textId="724A8BA5" w:rsidR="00D32997" w:rsidRDefault="00BF0E3D" w:rsidP="00DA65CD">
      <w:r>
        <w:t xml:space="preserve">There are many ways for faculty to develop robust scholarship programs as part of their portfolio. For some faculty, external support is desired. </w:t>
      </w:r>
      <w:r w:rsidR="006377B2">
        <w:t xml:space="preserve">The UW Bothell Office of </w:t>
      </w:r>
      <w:r w:rsidR="00D56AA3">
        <w:t xml:space="preserve">Sponsored </w:t>
      </w:r>
      <w:r w:rsidR="006377B2">
        <w:t xml:space="preserve">Research </w:t>
      </w:r>
      <w:r w:rsidR="00F513C9">
        <w:t>(O</w:t>
      </w:r>
      <w:r w:rsidR="00D56AA3">
        <w:t>S</w:t>
      </w:r>
      <w:r w:rsidR="00F513C9">
        <w:t xml:space="preserve">R) </w:t>
      </w:r>
      <w:r w:rsidR="006377B2">
        <w:t>provides the</w:t>
      </w:r>
      <w:r w:rsidR="00855A1E">
        <w:t xml:space="preserve"> administrative capacity to use the UW systems that support compliant </w:t>
      </w:r>
      <w:r w:rsidR="006377B2">
        <w:t xml:space="preserve">sponsored </w:t>
      </w:r>
      <w:r w:rsidR="00855A1E">
        <w:t>research</w:t>
      </w:r>
      <w:r w:rsidR="00AF0A48">
        <w:t xml:space="preserve"> for those who want to seek such funding resources at any level</w:t>
      </w:r>
      <w:r w:rsidR="00855A1E">
        <w:t xml:space="preserve">.  </w:t>
      </w:r>
      <w:r w:rsidR="00D32997">
        <w:t>W</w:t>
      </w:r>
      <w:r w:rsidR="00AE3D8C">
        <w:t xml:space="preserve">e answer </w:t>
      </w:r>
      <w:r w:rsidR="00D32997">
        <w:t xml:space="preserve">questions and triage </w:t>
      </w:r>
      <w:r w:rsidR="00AE3D8C">
        <w:t xml:space="preserve">the </w:t>
      </w:r>
      <w:r w:rsidR="00D32997">
        <w:t xml:space="preserve">work </w:t>
      </w:r>
      <w:r w:rsidR="00AE3D8C">
        <w:t xml:space="preserve">and we </w:t>
      </w:r>
      <w:r w:rsidR="00CE6F40">
        <w:t xml:space="preserve">approach faculty </w:t>
      </w:r>
      <w:r w:rsidR="00AE3D8C">
        <w:t xml:space="preserve">with targeted </w:t>
      </w:r>
      <w:r w:rsidR="00CE6F40">
        <w:t xml:space="preserve">support </w:t>
      </w:r>
      <w:r w:rsidR="00CC5BAD">
        <w:t>as described below.</w:t>
      </w:r>
    </w:p>
    <w:p w14:paraId="3B10F620" w14:textId="77777777" w:rsidR="00AE3D8C" w:rsidRDefault="00AE3D8C" w:rsidP="00671B04">
      <w:pPr>
        <w:rPr>
          <w:b/>
          <w:bCs/>
        </w:rPr>
      </w:pPr>
    </w:p>
    <w:p w14:paraId="5716B3A2" w14:textId="1D1E5F4D" w:rsidR="00966A01" w:rsidRDefault="00966A01" w:rsidP="00323FE8">
      <w:pPr>
        <w:pStyle w:val="Heading2"/>
      </w:pPr>
      <w:r>
        <w:t xml:space="preserve">Sponsored Project Procedures for </w:t>
      </w:r>
      <w:r w:rsidR="00155619">
        <w:t xml:space="preserve">UW Bothell </w:t>
      </w:r>
      <w:r w:rsidR="00241540">
        <w:t>Faculty Research</w:t>
      </w:r>
    </w:p>
    <w:p w14:paraId="7F598F63" w14:textId="77777777" w:rsidR="00966A01" w:rsidRPr="00966A01" w:rsidRDefault="00966A01" w:rsidP="00671B04">
      <w:pPr>
        <w:rPr>
          <w:b/>
          <w:bCs/>
          <w:i/>
        </w:rPr>
      </w:pPr>
    </w:p>
    <w:p w14:paraId="08E8C762" w14:textId="1BE4447E" w:rsidR="00275A33" w:rsidRPr="00F53B6A" w:rsidRDefault="006955A5" w:rsidP="00323FE8">
      <w:pPr>
        <w:pStyle w:val="Heading3"/>
      </w:pPr>
      <w:r>
        <w:t>PLAN/PROPOSE</w:t>
      </w:r>
    </w:p>
    <w:p w14:paraId="345180CD" w14:textId="525DE7F4" w:rsidR="00275A33" w:rsidRPr="005861F7" w:rsidRDefault="00AE3D8C" w:rsidP="00B53731">
      <w:pPr>
        <w:pStyle w:val="ListParagraph"/>
        <w:numPr>
          <w:ilvl w:val="0"/>
          <w:numId w:val="26"/>
        </w:numPr>
        <w:rPr>
          <w:color w:val="000000" w:themeColor="text1"/>
        </w:rPr>
      </w:pPr>
      <w:r>
        <w:rPr>
          <w:color w:val="000000" w:themeColor="text1"/>
        </w:rPr>
        <w:t>O</w:t>
      </w:r>
      <w:r w:rsidR="00D56AA3">
        <w:rPr>
          <w:color w:val="000000" w:themeColor="text1"/>
        </w:rPr>
        <w:t>S</w:t>
      </w:r>
      <w:r>
        <w:rPr>
          <w:color w:val="000000" w:themeColor="text1"/>
        </w:rPr>
        <w:t>R Budget Analyst</w:t>
      </w:r>
      <w:r w:rsidR="00275A33" w:rsidRPr="005861F7">
        <w:rPr>
          <w:color w:val="000000" w:themeColor="text1"/>
        </w:rPr>
        <w:t xml:space="preserve"> prepares</w:t>
      </w:r>
      <w:r w:rsidR="007826D3" w:rsidRPr="005861F7">
        <w:rPr>
          <w:color w:val="000000" w:themeColor="text1"/>
        </w:rPr>
        <w:t xml:space="preserve"> the</w:t>
      </w:r>
      <w:r w:rsidR="00275A33" w:rsidRPr="005861F7">
        <w:rPr>
          <w:color w:val="000000" w:themeColor="text1"/>
        </w:rPr>
        <w:t xml:space="preserve"> eGC1 </w:t>
      </w:r>
      <w:r w:rsidR="00671B04" w:rsidRPr="005861F7">
        <w:rPr>
          <w:color w:val="000000" w:themeColor="text1"/>
        </w:rPr>
        <w:t xml:space="preserve">in the System to Administer Grants Electronically (SAGE) </w:t>
      </w:r>
      <w:r w:rsidR="007826D3" w:rsidRPr="005861F7">
        <w:rPr>
          <w:color w:val="000000" w:themeColor="text1"/>
        </w:rPr>
        <w:t>and routes new proposals for approval</w:t>
      </w:r>
      <w:r w:rsidR="00570B9F">
        <w:rPr>
          <w:color w:val="000000" w:themeColor="text1"/>
        </w:rPr>
        <w:t>.</w:t>
      </w:r>
      <w:r w:rsidR="007826D3" w:rsidRPr="005861F7">
        <w:rPr>
          <w:color w:val="000000" w:themeColor="text1"/>
        </w:rPr>
        <w:t xml:space="preserve"> </w:t>
      </w:r>
    </w:p>
    <w:p w14:paraId="7FE4EEF0" w14:textId="77984CEF" w:rsidR="00275A33" w:rsidRPr="005861F7" w:rsidRDefault="00275A33" w:rsidP="00B53731">
      <w:pPr>
        <w:pStyle w:val="ListParagraph"/>
        <w:numPr>
          <w:ilvl w:val="0"/>
          <w:numId w:val="26"/>
        </w:numPr>
        <w:rPr>
          <w:color w:val="000000" w:themeColor="text1"/>
        </w:rPr>
      </w:pPr>
      <w:r w:rsidRPr="005861F7">
        <w:rPr>
          <w:color w:val="000000" w:themeColor="text1"/>
        </w:rPr>
        <w:t xml:space="preserve">PI </w:t>
      </w:r>
      <w:r w:rsidR="007826D3" w:rsidRPr="005861F7">
        <w:rPr>
          <w:color w:val="000000" w:themeColor="text1"/>
        </w:rPr>
        <w:t>and</w:t>
      </w:r>
      <w:r w:rsidR="00AE3D8C">
        <w:rPr>
          <w:color w:val="000000" w:themeColor="text1"/>
        </w:rPr>
        <w:t xml:space="preserve"> </w:t>
      </w:r>
      <w:r w:rsidR="00A37259">
        <w:rPr>
          <w:color w:val="000000" w:themeColor="text1"/>
        </w:rPr>
        <w:t>O</w:t>
      </w:r>
      <w:r w:rsidR="00D56AA3">
        <w:rPr>
          <w:color w:val="000000" w:themeColor="text1"/>
        </w:rPr>
        <w:t>S</w:t>
      </w:r>
      <w:r w:rsidR="00A37259">
        <w:rPr>
          <w:color w:val="000000" w:themeColor="text1"/>
        </w:rPr>
        <w:t xml:space="preserve">R staff </w:t>
      </w:r>
      <w:r w:rsidRPr="005861F7">
        <w:rPr>
          <w:color w:val="000000" w:themeColor="text1"/>
        </w:rPr>
        <w:t xml:space="preserve">put together </w:t>
      </w:r>
      <w:r w:rsidR="007826D3" w:rsidRPr="005861F7">
        <w:rPr>
          <w:color w:val="000000" w:themeColor="text1"/>
        </w:rPr>
        <w:t xml:space="preserve">the proposal package </w:t>
      </w:r>
      <w:r w:rsidR="00AE3D8C">
        <w:rPr>
          <w:color w:val="000000" w:themeColor="text1"/>
        </w:rPr>
        <w:t>in the sponsor system</w:t>
      </w:r>
      <w:r w:rsidR="00330A16">
        <w:rPr>
          <w:color w:val="000000" w:themeColor="text1"/>
        </w:rPr>
        <w:t>.</w:t>
      </w:r>
    </w:p>
    <w:p w14:paraId="5E459070" w14:textId="2B0B3AE3" w:rsidR="00671B04" w:rsidRPr="005861F7" w:rsidRDefault="00E302E0" w:rsidP="00B53731">
      <w:pPr>
        <w:pStyle w:val="ListParagraph"/>
        <w:numPr>
          <w:ilvl w:val="0"/>
          <w:numId w:val="26"/>
        </w:numPr>
        <w:rPr>
          <w:color w:val="000000" w:themeColor="text1"/>
        </w:rPr>
      </w:pPr>
      <w:r w:rsidRPr="005861F7">
        <w:rPr>
          <w:color w:val="000000" w:themeColor="text1"/>
        </w:rPr>
        <w:t xml:space="preserve">Proposal routing: </w:t>
      </w:r>
      <w:r w:rsidR="00275A33" w:rsidRPr="005861F7">
        <w:rPr>
          <w:color w:val="000000" w:themeColor="text1"/>
        </w:rPr>
        <w:t xml:space="preserve">PI </w:t>
      </w:r>
      <w:r w:rsidR="00BD742F" w:rsidRPr="005861F7">
        <w:rPr>
          <w:color w:val="000000" w:themeColor="text1"/>
        </w:rPr>
        <w:t xml:space="preserve">is first to </w:t>
      </w:r>
      <w:r w:rsidR="00275A33" w:rsidRPr="005861F7">
        <w:rPr>
          <w:color w:val="000000" w:themeColor="text1"/>
        </w:rPr>
        <w:t>approve</w:t>
      </w:r>
      <w:r w:rsidRPr="005861F7">
        <w:rPr>
          <w:color w:val="000000" w:themeColor="text1"/>
        </w:rPr>
        <w:t>; Bothell Grants</w:t>
      </w:r>
      <w:r w:rsidR="00155619">
        <w:rPr>
          <w:color w:val="000000" w:themeColor="text1"/>
        </w:rPr>
        <w:t xml:space="preserve"> and</w:t>
      </w:r>
      <w:r w:rsidR="00D11917">
        <w:rPr>
          <w:color w:val="000000" w:themeColor="text1"/>
        </w:rPr>
        <w:t xml:space="preserve"> Ad Hoc Reviewers (e.g., for proposals that require a certain type of space,</w:t>
      </w:r>
      <w:r w:rsidR="00CC04A5" w:rsidRPr="005861F7">
        <w:rPr>
          <w:color w:val="000000" w:themeColor="text1"/>
        </w:rPr>
        <w:t xml:space="preserve"> individuals authorized to commit the </w:t>
      </w:r>
      <w:r w:rsidR="00D11917">
        <w:rPr>
          <w:color w:val="000000" w:themeColor="text1"/>
        </w:rPr>
        <w:t>resources listed</w:t>
      </w:r>
      <w:r w:rsidR="00155619">
        <w:rPr>
          <w:color w:val="000000" w:themeColor="text1"/>
        </w:rPr>
        <w:t xml:space="preserve"> </w:t>
      </w:r>
      <w:r w:rsidR="00202013">
        <w:rPr>
          <w:color w:val="000000" w:themeColor="text1"/>
        </w:rPr>
        <w:t xml:space="preserve">must </w:t>
      </w:r>
      <w:r w:rsidR="00155619">
        <w:rPr>
          <w:color w:val="000000" w:themeColor="text1"/>
        </w:rPr>
        <w:t>approve</w:t>
      </w:r>
      <w:r w:rsidR="00CC04A5" w:rsidRPr="005861F7">
        <w:rPr>
          <w:color w:val="000000" w:themeColor="text1"/>
        </w:rPr>
        <w:t>)</w:t>
      </w:r>
      <w:r w:rsidR="00BD742F" w:rsidRPr="005861F7">
        <w:rPr>
          <w:color w:val="000000" w:themeColor="text1"/>
        </w:rPr>
        <w:t xml:space="preserve"> second</w:t>
      </w:r>
      <w:r w:rsidRPr="005861F7">
        <w:rPr>
          <w:color w:val="000000" w:themeColor="text1"/>
        </w:rPr>
        <w:t xml:space="preserve">; </w:t>
      </w:r>
      <w:r w:rsidR="00F37A23">
        <w:rPr>
          <w:color w:val="000000" w:themeColor="text1"/>
        </w:rPr>
        <w:t xml:space="preserve">Dean </w:t>
      </w:r>
      <w:r w:rsidR="00AE3D8C">
        <w:rPr>
          <w:color w:val="000000" w:themeColor="text1"/>
        </w:rPr>
        <w:t>of the school in which their primary appointment is held,</w:t>
      </w:r>
      <w:r w:rsidR="00BD742F" w:rsidRPr="005861F7">
        <w:rPr>
          <w:color w:val="000000" w:themeColor="text1"/>
        </w:rPr>
        <w:t xml:space="preserve"> third.</w:t>
      </w:r>
      <w:r w:rsidR="001876A1">
        <w:rPr>
          <w:color w:val="000000" w:themeColor="text1"/>
        </w:rPr>
        <w:t xml:space="preserve"> </w:t>
      </w:r>
      <w:r w:rsidR="00C75A27">
        <w:rPr>
          <w:color w:val="000000" w:themeColor="text1"/>
        </w:rPr>
        <w:t xml:space="preserve">Division chairs are manually added as “watchers.” </w:t>
      </w:r>
      <w:r w:rsidR="001876A1">
        <w:rPr>
          <w:color w:val="000000" w:themeColor="text1"/>
        </w:rPr>
        <w:t>If the PI is the Dean, then the VCAA will be added to the eGC1 as the final approver prior to it arriving at OSP.</w:t>
      </w:r>
      <w:r w:rsidR="00570B9F">
        <w:rPr>
          <w:color w:val="000000" w:themeColor="text1"/>
        </w:rPr>
        <w:t xml:space="preserve"> If</w:t>
      </w:r>
      <w:r w:rsidR="00570B9F" w:rsidRPr="005861F7">
        <w:rPr>
          <w:color w:val="000000" w:themeColor="text1"/>
        </w:rPr>
        <w:t xml:space="preserve"> the </w:t>
      </w:r>
      <w:r w:rsidR="00AE3D8C">
        <w:rPr>
          <w:color w:val="000000" w:themeColor="text1"/>
        </w:rPr>
        <w:t xml:space="preserve">PI is routing </w:t>
      </w:r>
      <w:r w:rsidR="00330A16">
        <w:rPr>
          <w:color w:val="000000" w:themeColor="text1"/>
        </w:rPr>
        <w:t>a proposal through a</w:t>
      </w:r>
      <w:r w:rsidR="0073795E">
        <w:rPr>
          <w:color w:val="000000" w:themeColor="text1"/>
        </w:rPr>
        <w:t>n authorized</w:t>
      </w:r>
      <w:r w:rsidR="00330A16">
        <w:rPr>
          <w:color w:val="000000" w:themeColor="text1"/>
        </w:rPr>
        <w:t xml:space="preserve"> UWB </w:t>
      </w:r>
      <w:r w:rsidR="0073795E">
        <w:rPr>
          <w:color w:val="000000" w:themeColor="text1"/>
        </w:rPr>
        <w:t>Research C</w:t>
      </w:r>
      <w:r w:rsidR="0073795E" w:rsidRPr="005861F7">
        <w:rPr>
          <w:color w:val="000000" w:themeColor="text1"/>
        </w:rPr>
        <w:t>enter</w:t>
      </w:r>
      <w:r w:rsidR="00330A16">
        <w:rPr>
          <w:color w:val="000000" w:themeColor="text1"/>
        </w:rPr>
        <w:t>,</w:t>
      </w:r>
      <w:r w:rsidR="00570B9F" w:rsidRPr="005861F7">
        <w:rPr>
          <w:color w:val="000000" w:themeColor="text1"/>
        </w:rPr>
        <w:t xml:space="preserve"> </w:t>
      </w:r>
      <w:r w:rsidR="00330A16">
        <w:rPr>
          <w:color w:val="000000" w:themeColor="text1"/>
        </w:rPr>
        <w:t xml:space="preserve">please see </w:t>
      </w:r>
      <w:r w:rsidR="00202013">
        <w:rPr>
          <w:color w:val="000000" w:themeColor="text1"/>
        </w:rPr>
        <w:t xml:space="preserve">Center </w:t>
      </w:r>
      <w:r w:rsidR="00330A16">
        <w:rPr>
          <w:color w:val="000000" w:themeColor="text1"/>
        </w:rPr>
        <w:t xml:space="preserve">procedures.    </w:t>
      </w:r>
    </w:p>
    <w:p w14:paraId="1A0202EA" w14:textId="73E3CC42" w:rsidR="00671B04" w:rsidRPr="005861F7" w:rsidRDefault="00F37A23" w:rsidP="00B53731">
      <w:pPr>
        <w:pStyle w:val="ListParagraph"/>
        <w:numPr>
          <w:ilvl w:val="0"/>
          <w:numId w:val="26"/>
        </w:numPr>
        <w:rPr>
          <w:color w:val="000000" w:themeColor="text1"/>
        </w:rPr>
      </w:pPr>
      <w:r>
        <w:rPr>
          <w:color w:val="000000" w:themeColor="text1"/>
        </w:rPr>
        <w:t>After all the reviews are successfully completed, r</w:t>
      </w:r>
      <w:r w:rsidR="00671B04" w:rsidRPr="005861F7">
        <w:rPr>
          <w:color w:val="000000" w:themeColor="text1"/>
        </w:rPr>
        <w:t>outed proposal must be received by O</w:t>
      </w:r>
      <w:r w:rsidR="00F513C9">
        <w:rPr>
          <w:color w:val="000000" w:themeColor="text1"/>
        </w:rPr>
        <w:t xml:space="preserve">ffice of </w:t>
      </w:r>
      <w:r w:rsidR="00671B04" w:rsidRPr="005861F7">
        <w:rPr>
          <w:color w:val="000000" w:themeColor="text1"/>
        </w:rPr>
        <w:t>S</w:t>
      </w:r>
      <w:r w:rsidR="00F513C9">
        <w:rPr>
          <w:color w:val="000000" w:themeColor="text1"/>
        </w:rPr>
        <w:t xml:space="preserve">ponsored </w:t>
      </w:r>
      <w:r w:rsidR="00671B04" w:rsidRPr="005861F7">
        <w:rPr>
          <w:color w:val="000000" w:themeColor="text1"/>
        </w:rPr>
        <w:t>P</w:t>
      </w:r>
      <w:r w:rsidR="00F513C9">
        <w:rPr>
          <w:color w:val="000000" w:themeColor="text1"/>
        </w:rPr>
        <w:t>rograms (OSP)</w:t>
      </w:r>
      <w:r w:rsidR="00AD1875" w:rsidRPr="005861F7">
        <w:rPr>
          <w:color w:val="000000" w:themeColor="text1"/>
        </w:rPr>
        <w:t xml:space="preserve"> </w:t>
      </w:r>
      <w:r w:rsidR="00671B04" w:rsidRPr="005861F7">
        <w:rPr>
          <w:color w:val="000000" w:themeColor="text1"/>
        </w:rPr>
        <w:t>by the 3-day deadline according to UW Grants Information Memorandum (GIM 19)</w:t>
      </w:r>
      <w:r w:rsidR="00AD1875" w:rsidRPr="005861F7">
        <w:rPr>
          <w:color w:val="000000" w:themeColor="text1"/>
        </w:rPr>
        <w:t>.</w:t>
      </w:r>
    </w:p>
    <w:p w14:paraId="22A38790" w14:textId="6001C233" w:rsidR="00671B04" w:rsidRDefault="00671B04" w:rsidP="00B53731">
      <w:pPr>
        <w:pStyle w:val="ListParagraph"/>
        <w:numPr>
          <w:ilvl w:val="0"/>
          <w:numId w:val="26"/>
        </w:numPr>
        <w:rPr>
          <w:color w:val="000000" w:themeColor="text1"/>
        </w:rPr>
      </w:pPr>
      <w:r w:rsidRPr="005861F7">
        <w:rPr>
          <w:color w:val="000000" w:themeColor="text1"/>
        </w:rPr>
        <w:t>OSP reviews</w:t>
      </w:r>
      <w:r w:rsidR="00CC04A5" w:rsidRPr="005861F7">
        <w:rPr>
          <w:color w:val="000000" w:themeColor="text1"/>
        </w:rPr>
        <w:t xml:space="preserve"> for compliance and adherence to university, sponsor, federal, </w:t>
      </w:r>
      <w:r w:rsidR="00B70FB4">
        <w:rPr>
          <w:color w:val="000000" w:themeColor="text1"/>
        </w:rPr>
        <w:t xml:space="preserve">and </w:t>
      </w:r>
      <w:r w:rsidR="00CC04A5" w:rsidRPr="005861F7">
        <w:rPr>
          <w:color w:val="000000" w:themeColor="text1"/>
        </w:rPr>
        <w:t xml:space="preserve">state guidelines before </w:t>
      </w:r>
      <w:r w:rsidRPr="005861F7">
        <w:rPr>
          <w:color w:val="000000" w:themeColor="text1"/>
        </w:rPr>
        <w:t>submit</w:t>
      </w:r>
      <w:r w:rsidR="00CC04A5" w:rsidRPr="005861F7">
        <w:rPr>
          <w:color w:val="000000" w:themeColor="text1"/>
        </w:rPr>
        <w:t>ting</w:t>
      </w:r>
      <w:r w:rsidRPr="005861F7">
        <w:rPr>
          <w:color w:val="000000" w:themeColor="text1"/>
        </w:rPr>
        <w:t xml:space="preserve"> </w:t>
      </w:r>
      <w:r w:rsidR="00BD742F" w:rsidRPr="005861F7">
        <w:rPr>
          <w:color w:val="000000" w:themeColor="text1"/>
        </w:rPr>
        <w:t>grant/contract proposals</w:t>
      </w:r>
      <w:r w:rsidR="00CC04A5" w:rsidRPr="005861F7">
        <w:rPr>
          <w:color w:val="000000" w:themeColor="text1"/>
        </w:rPr>
        <w:t>.</w:t>
      </w:r>
      <w:r w:rsidR="00BD742F" w:rsidRPr="005861F7">
        <w:rPr>
          <w:color w:val="000000" w:themeColor="text1"/>
        </w:rPr>
        <w:t xml:space="preserve"> </w:t>
      </w:r>
    </w:p>
    <w:p w14:paraId="41137C29" w14:textId="199105E3" w:rsidR="00D11917" w:rsidRPr="005861F7" w:rsidRDefault="00D11917" w:rsidP="00B53731">
      <w:pPr>
        <w:pStyle w:val="ListParagraph"/>
        <w:numPr>
          <w:ilvl w:val="0"/>
          <w:numId w:val="26"/>
        </w:numPr>
        <w:rPr>
          <w:color w:val="000000" w:themeColor="text1"/>
        </w:rPr>
      </w:pPr>
      <w:r>
        <w:rPr>
          <w:color w:val="000000" w:themeColor="text1"/>
        </w:rPr>
        <w:t xml:space="preserve">OSP submits proposal to the sponsor or provides signed letter and/or signed forms for </w:t>
      </w:r>
      <w:r w:rsidR="00330A16">
        <w:rPr>
          <w:color w:val="000000" w:themeColor="text1"/>
        </w:rPr>
        <w:t>PI</w:t>
      </w:r>
      <w:r>
        <w:rPr>
          <w:color w:val="000000" w:themeColor="text1"/>
        </w:rPr>
        <w:t xml:space="preserve"> to submit proposal to the sponsor.</w:t>
      </w:r>
    </w:p>
    <w:p w14:paraId="044790E5" w14:textId="34500BD4" w:rsidR="004F6CF5" w:rsidRDefault="004F6CF5" w:rsidP="004F6CF5">
      <w:pPr>
        <w:pStyle w:val="ListParagraph"/>
        <w:rPr>
          <w:color w:val="000000" w:themeColor="text1"/>
        </w:rPr>
      </w:pPr>
    </w:p>
    <w:p w14:paraId="7DE28B6B" w14:textId="77777777" w:rsidR="00DA65CD" w:rsidRPr="005861F7" w:rsidRDefault="00DA65CD" w:rsidP="004F6CF5">
      <w:pPr>
        <w:pStyle w:val="ListParagraph"/>
        <w:rPr>
          <w:color w:val="000000" w:themeColor="text1"/>
        </w:rPr>
      </w:pPr>
    </w:p>
    <w:p w14:paraId="5704BD52" w14:textId="76323FD6" w:rsidR="00671B04" w:rsidRPr="005861F7" w:rsidRDefault="006955A5" w:rsidP="00323FE8">
      <w:pPr>
        <w:pStyle w:val="Heading3"/>
      </w:pPr>
      <w:r>
        <w:t>SETUP</w:t>
      </w:r>
    </w:p>
    <w:p w14:paraId="3716CCCD" w14:textId="3D31943A" w:rsidR="00671B04" w:rsidRPr="005861F7" w:rsidRDefault="001876A1" w:rsidP="00B53731">
      <w:pPr>
        <w:pStyle w:val="ListParagraph"/>
        <w:numPr>
          <w:ilvl w:val="0"/>
          <w:numId w:val="25"/>
        </w:numPr>
        <w:rPr>
          <w:color w:val="000000" w:themeColor="text1"/>
        </w:rPr>
      </w:pPr>
      <w:r>
        <w:rPr>
          <w:color w:val="000000" w:themeColor="text1"/>
        </w:rPr>
        <w:t xml:space="preserve">OSP receives Just in Time </w:t>
      </w:r>
      <w:r w:rsidR="004C1FA0">
        <w:rPr>
          <w:color w:val="000000" w:themeColor="text1"/>
        </w:rPr>
        <w:t xml:space="preserve">(JIT) </w:t>
      </w:r>
      <w:r>
        <w:rPr>
          <w:color w:val="000000" w:themeColor="text1"/>
        </w:rPr>
        <w:t xml:space="preserve">notices (e.g., budget negotiation, IRB documents) </w:t>
      </w:r>
      <w:r w:rsidR="00CC04A5" w:rsidRPr="005861F7">
        <w:rPr>
          <w:color w:val="000000" w:themeColor="text1"/>
        </w:rPr>
        <w:t>and then</w:t>
      </w:r>
      <w:r w:rsidR="00671B04" w:rsidRPr="005861F7">
        <w:rPr>
          <w:color w:val="000000" w:themeColor="text1"/>
        </w:rPr>
        <w:t xml:space="preserve"> communicates with the PI </w:t>
      </w:r>
      <w:r w:rsidR="0060400F">
        <w:rPr>
          <w:color w:val="000000" w:themeColor="text1"/>
        </w:rPr>
        <w:t xml:space="preserve">concerning </w:t>
      </w:r>
      <w:r>
        <w:rPr>
          <w:color w:val="000000" w:themeColor="text1"/>
        </w:rPr>
        <w:t>the</w:t>
      </w:r>
      <w:r w:rsidR="00CC04A5" w:rsidRPr="005861F7">
        <w:rPr>
          <w:color w:val="000000" w:themeColor="text1"/>
        </w:rPr>
        <w:t xml:space="preserve"> </w:t>
      </w:r>
      <w:r w:rsidR="0060400F">
        <w:rPr>
          <w:color w:val="000000" w:themeColor="text1"/>
        </w:rPr>
        <w:t>request from the</w:t>
      </w:r>
      <w:r w:rsidR="00CC04A5" w:rsidRPr="005861F7">
        <w:rPr>
          <w:color w:val="000000" w:themeColor="text1"/>
        </w:rPr>
        <w:t xml:space="preserve"> sponsor</w:t>
      </w:r>
      <w:r w:rsidR="00D11917">
        <w:rPr>
          <w:color w:val="000000" w:themeColor="text1"/>
        </w:rPr>
        <w:t xml:space="preserve"> (as needed)</w:t>
      </w:r>
      <w:r w:rsidR="00570B9F">
        <w:rPr>
          <w:color w:val="000000" w:themeColor="text1"/>
        </w:rPr>
        <w:t>.</w:t>
      </w:r>
    </w:p>
    <w:p w14:paraId="46F3A1B8" w14:textId="12DFA85A" w:rsidR="0060400F" w:rsidRDefault="00671B04" w:rsidP="00B53731">
      <w:pPr>
        <w:pStyle w:val="ListParagraph"/>
        <w:numPr>
          <w:ilvl w:val="0"/>
          <w:numId w:val="25"/>
        </w:numPr>
        <w:rPr>
          <w:color w:val="000000" w:themeColor="text1"/>
        </w:rPr>
      </w:pPr>
      <w:r w:rsidRPr="005861F7">
        <w:rPr>
          <w:color w:val="000000" w:themeColor="text1"/>
        </w:rPr>
        <w:t>PI prepares JIT documentation</w:t>
      </w:r>
      <w:r w:rsidR="00CC04A5" w:rsidRPr="005861F7">
        <w:rPr>
          <w:color w:val="000000" w:themeColor="text1"/>
        </w:rPr>
        <w:t xml:space="preserve"> and submits to OSP</w:t>
      </w:r>
      <w:r w:rsidR="00570B9F">
        <w:rPr>
          <w:color w:val="000000" w:themeColor="text1"/>
        </w:rPr>
        <w:t>.</w:t>
      </w:r>
    </w:p>
    <w:p w14:paraId="765E0022" w14:textId="6FD11758" w:rsidR="00671B04" w:rsidRPr="005861F7" w:rsidRDefault="0060400F" w:rsidP="00B53731">
      <w:pPr>
        <w:pStyle w:val="ListParagraph"/>
        <w:numPr>
          <w:ilvl w:val="0"/>
          <w:numId w:val="25"/>
        </w:numPr>
        <w:rPr>
          <w:color w:val="000000" w:themeColor="text1"/>
        </w:rPr>
      </w:pPr>
      <w:r>
        <w:rPr>
          <w:color w:val="000000" w:themeColor="text1"/>
        </w:rPr>
        <w:t>OSP submits revised budget and JIT documentation to sponsor</w:t>
      </w:r>
      <w:r w:rsidR="00570B9F">
        <w:rPr>
          <w:color w:val="000000" w:themeColor="text1"/>
        </w:rPr>
        <w:t>.</w:t>
      </w:r>
    </w:p>
    <w:p w14:paraId="6B399370" w14:textId="38C5F608" w:rsidR="002A7016" w:rsidRPr="002A7016" w:rsidRDefault="00671B04" w:rsidP="00B53731">
      <w:pPr>
        <w:pStyle w:val="ListParagraph"/>
        <w:numPr>
          <w:ilvl w:val="0"/>
          <w:numId w:val="25"/>
        </w:numPr>
        <w:rPr>
          <w:color w:val="000000" w:themeColor="text1"/>
        </w:rPr>
      </w:pPr>
      <w:r w:rsidRPr="005861F7">
        <w:rPr>
          <w:color w:val="000000" w:themeColor="text1"/>
        </w:rPr>
        <w:t>OSP</w:t>
      </w:r>
      <w:r w:rsidR="002A7016">
        <w:rPr>
          <w:color w:val="000000" w:themeColor="text1"/>
        </w:rPr>
        <w:t xml:space="preserve"> </w:t>
      </w:r>
      <w:r w:rsidR="009A4E35">
        <w:rPr>
          <w:color w:val="000000" w:themeColor="text1"/>
        </w:rPr>
        <w:t xml:space="preserve">receives, </w:t>
      </w:r>
      <w:r w:rsidR="002A7016" w:rsidRPr="00F60DE2">
        <w:rPr>
          <w:rFonts w:cstheme="minorHAnsi"/>
        </w:rPr>
        <w:t>negotiate</w:t>
      </w:r>
      <w:r w:rsidR="002A7016">
        <w:rPr>
          <w:rFonts w:cstheme="minorHAnsi"/>
        </w:rPr>
        <w:t>s</w:t>
      </w:r>
      <w:r w:rsidR="002A7016" w:rsidRPr="00F60DE2">
        <w:rPr>
          <w:rFonts w:cstheme="minorHAnsi"/>
        </w:rPr>
        <w:t xml:space="preserve"> and accept</w:t>
      </w:r>
      <w:r w:rsidR="002A7016">
        <w:rPr>
          <w:rFonts w:cstheme="minorHAnsi"/>
        </w:rPr>
        <w:t>s</w:t>
      </w:r>
      <w:r w:rsidR="002A7016" w:rsidRPr="00F60DE2">
        <w:rPr>
          <w:rFonts w:cstheme="minorHAnsi"/>
        </w:rPr>
        <w:t xml:space="preserve"> all award</w:t>
      </w:r>
      <w:r w:rsidR="002A7016">
        <w:rPr>
          <w:rFonts w:cstheme="minorHAnsi"/>
        </w:rPr>
        <w:t xml:space="preserve">s. </w:t>
      </w:r>
    </w:p>
    <w:p w14:paraId="2035265B" w14:textId="192DFF1C" w:rsidR="00671B04" w:rsidRPr="005861F7" w:rsidRDefault="002A7016" w:rsidP="00B53731">
      <w:pPr>
        <w:pStyle w:val="ListParagraph"/>
        <w:numPr>
          <w:ilvl w:val="0"/>
          <w:numId w:val="25"/>
        </w:numPr>
        <w:rPr>
          <w:color w:val="000000" w:themeColor="text1"/>
        </w:rPr>
      </w:pPr>
      <w:r>
        <w:rPr>
          <w:color w:val="000000" w:themeColor="text1"/>
        </w:rPr>
        <w:t>OSP completes</w:t>
      </w:r>
      <w:r w:rsidR="00671B04" w:rsidRPr="005861F7">
        <w:rPr>
          <w:color w:val="000000" w:themeColor="text1"/>
        </w:rPr>
        <w:t xml:space="preserve"> the internal funding action (FA) </w:t>
      </w:r>
      <w:r w:rsidR="00CC04A5" w:rsidRPr="005861F7">
        <w:rPr>
          <w:color w:val="000000" w:themeColor="text1"/>
        </w:rPr>
        <w:t>to set up the award</w:t>
      </w:r>
      <w:r w:rsidR="0054160B" w:rsidRPr="00F60DE2">
        <w:rPr>
          <w:rFonts w:cstheme="minorHAnsi"/>
        </w:rPr>
        <w:t xml:space="preserve"> and release</w:t>
      </w:r>
      <w:r w:rsidR="00570B9F">
        <w:rPr>
          <w:rFonts w:cstheme="minorHAnsi"/>
        </w:rPr>
        <w:t>s</w:t>
      </w:r>
      <w:r w:rsidR="0054160B" w:rsidRPr="00F60DE2">
        <w:rPr>
          <w:rFonts w:cstheme="minorHAnsi"/>
        </w:rPr>
        <w:t xml:space="preserve"> </w:t>
      </w:r>
      <w:r w:rsidR="00B70FB4">
        <w:rPr>
          <w:rFonts w:cstheme="minorHAnsi"/>
        </w:rPr>
        <w:t xml:space="preserve">it </w:t>
      </w:r>
      <w:r w:rsidR="0054160B" w:rsidRPr="00F60DE2">
        <w:rPr>
          <w:rFonts w:cstheme="minorHAnsi"/>
        </w:rPr>
        <w:t>to Grant and Contract Accounting</w:t>
      </w:r>
      <w:r w:rsidR="0054160B">
        <w:rPr>
          <w:rFonts w:cstheme="minorHAnsi"/>
        </w:rPr>
        <w:t xml:space="preserve"> (GCA).</w:t>
      </w:r>
    </w:p>
    <w:p w14:paraId="7EB6D483" w14:textId="1103A530" w:rsidR="00DA65CD" w:rsidRPr="00323FE8" w:rsidRDefault="00AD1875" w:rsidP="00462921">
      <w:pPr>
        <w:pStyle w:val="ListParagraph"/>
        <w:numPr>
          <w:ilvl w:val="0"/>
          <w:numId w:val="25"/>
        </w:numPr>
        <w:rPr>
          <w:b/>
          <w:bCs/>
          <w:color w:val="000000" w:themeColor="text1"/>
        </w:rPr>
      </w:pPr>
      <w:r w:rsidRPr="00323FE8">
        <w:rPr>
          <w:color w:val="000000" w:themeColor="text1"/>
        </w:rPr>
        <w:t>GCA</w:t>
      </w:r>
      <w:r w:rsidR="0054160B" w:rsidRPr="00323FE8">
        <w:rPr>
          <w:color w:val="000000" w:themeColor="text1"/>
        </w:rPr>
        <w:t xml:space="preserve"> </w:t>
      </w:r>
      <w:r w:rsidR="00671B04" w:rsidRPr="00323FE8">
        <w:rPr>
          <w:color w:val="000000" w:themeColor="text1"/>
        </w:rPr>
        <w:t xml:space="preserve">sets up </w:t>
      </w:r>
      <w:r w:rsidR="00CC04A5" w:rsidRPr="00323FE8">
        <w:rPr>
          <w:color w:val="000000" w:themeColor="text1"/>
        </w:rPr>
        <w:t xml:space="preserve">the </w:t>
      </w:r>
      <w:r w:rsidR="00671B04" w:rsidRPr="00323FE8">
        <w:rPr>
          <w:color w:val="000000" w:themeColor="text1"/>
        </w:rPr>
        <w:t>budget and communicates</w:t>
      </w:r>
      <w:r w:rsidR="00570B9F" w:rsidRPr="00323FE8">
        <w:rPr>
          <w:color w:val="000000" w:themeColor="text1"/>
        </w:rPr>
        <w:t xml:space="preserve"> via e-mail</w:t>
      </w:r>
      <w:r w:rsidR="00671B04" w:rsidRPr="00323FE8">
        <w:rPr>
          <w:color w:val="000000" w:themeColor="text1"/>
        </w:rPr>
        <w:t xml:space="preserve"> </w:t>
      </w:r>
      <w:r w:rsidR="00CC04A5" w:rsidRPr="00323FE8">
        <w:rPr>
          <w:color w:val="000000" w:themeColor="text1"/>
        </w:rPr>
        <w:t xml:space="preserve">that it is open </w:t>
      </w:r>
      <w:r w:rsidR="00671B04" w:rsidRPr="00323FE8">
        <w:rPr>
          <w:color w:val="000000" w:themeColor="text1"/>
        </w:rPr>
        <w:t xml:space="preserve">to </w:t>
      </w:r>
      <w:r w:rsidR="00CC04A5" w:rsidRPr="00323FE8">
        <w:rPr>
          <w:color w:val="000000" w:themeColor="text1"/>
        </w:rPr>
        <w:t xml:space="preserve">spending and able to be viewed in </w:t>
      </w:r>
      <w:proofErr w:type="spellStart"/>
      <w:r w:rsidR="00671B04" w:rsidRPr="00323FE8">
        <w:rPr>
          <w:color w:val="000000" w:themeColor="text1"/>
        </w:rPr>
        <w:t>MyFinancial</w:t>
      </w:r>
      <w:proofErr w:type="spellEnd"/>
      <w:r w:rsidR="00671B04" w:rsidRPr="00323FE8">
        <w:rPr>
          <w:color w:val="000000" w:themeColor="text1"/>
        </w:rPr>
        <w:t xml:space="preserve"> Desktop</w:t>
      </w:r>
      <w:r w:rsidR="00B76639" w:rsidRPr="00323FE8">
        <w:rPr>
          <w:color w:val="000000" w:themeColor="text1"/>
        </w:rPr>
        <w:t xml:space="preserve"> (</w:t>
      </w:r>
      <w:proofErr w:type="spellStart"/>
      <w:r w:rsidR="00B76639" w:rsidRPr="00323FE8">
        <w:rPr>
          <w:color w:val="000000" w:themeColor="text1"/>
        </w:rPr>
        <w:t>MyFD</w:t>
      </w:r>
      <w:proofErr w:type="spellEnd"/>
      <w:r w:rsidR="00B76639" w:rsidRPr="00323FE8">
        <w:rPr>
          <w:color w:val="000000" w:themeColor="text1"/>
        </w:rPr>
        <w:t>)</w:t>
      </w:r>
      <w:r w:rsidR="00CC04A5" w:rsidRPr="00323FE8">
        <w:rPr>
          <w:color w:val="000000" w:themeColor="text1"/>
        </w:rPr>
        <w:t>.</w:t>
      </w:r>
    </w:p>
    <w:p w14:paraId="07CC91A3" w14:textId="6D43D2D8" w:rsidR="00CC04A5" w:rsidRPr="005861F7" w:rsidRDefault="006955A5" w:rsidP="00323FE8">
      <w:pPr>
        <w:pStyle w:val="Heading3"/>
      </w:pPr>
      <w:r>
        <w:lastRenderedPageBreak/>
        <w:t>MANAGE</w:t>
      </w:r>
    </w:p>
    <w:p w14:paraId="6B85152D" w14:textId="30DC2464" w:rsidR="00CC04A5" w:rsidRDefault="00CC04A5" w:rsidP="006955A5">
      <w:pPr>
        <w:pStyle w:val="ListParagraph"/>
        <w:numPr>
          <w:ilvl w:val="0"/>
          <w:numId w:val="18"/>
        </w:numPr>
        <w:rPr>
          <w:color w:val="000000" w:themeColor="text1"/>
        </w:rPr>
      </w:pPr>
      <w:r w:rsidRPr="006955A5">
        <w:rPr>
          <w:color w:val="000000" w:themeColor="text1"/>
        </w:rPr>
        <w:t>O</w:t>
      </w:r>
      <w:r w:rsidR="00D56AA3">
        <w:rPr>
          <w:color w:val="000000" w:themeColor="text1"/>
        </w:rPr>
        <w:t>S</w:t>
      </w:r>
      <w:r w:rsidRPr="006955A5">
        <w:rPr>
          <w:color w:val="000000" w:themeColor="text1"/>
        </w:rPr>
        <w:t xml:space="preserve">R initiates kickoff meeting </w:t>
      </w:r>
      <w:r w:rsidR="00330A16">
        <w:rPr>
          <w:color w:val="000000" w:themeColor="text1"/>
        </w:rPr>
        <w:t xml:space="preserve">including </w:t>
      </w:r>
      <w:r w:rsidR="00431B67">
        <w:rPr>
          <w:color w:val="000000" w:themeColor="text1"/>
        </w:rPr>
        <w:t xml:space="preserve">School </w:t>
      </w:r>
      <w:r w:rsidR="007135B8">
        <w:rPr>
          <w:color w:val="000000" w:themeColor="text1"/>
        </w:rPr>
        <w:t>Administrator</w:t>
      </w:r>
      <w:r w:rsidR="007135B8" w:rsidRPr="006955A5">
        <w:rPr>
          <w:color w:val="000000" w:themeColor="text1"/>
        </w:rPr>
        <w:t xml:space="preserve"> </w:t>
      </w:r>
      <w:r w:rsidR="00581247" w:rsidRPr="006955A5">
        <w:rPr>
          <w:color w:val="000000" w:themeColor="text1"/>
        </w:rPr>
        <w:t>to review compliance requirements</w:t>
      </w:r>
      <w:r w:rsidR="00570B9F">
        <w:rPr>
          <w:color w:val="000000" w:themeColor="text1"/>
        </w:rPr>
        <w:t>.</w:t>
      </w:r>
    </w:p>
    <w:p w14:paraId="75207B72" w14:textId="086CD617" w:rsidR="00086BD7" w:rsidRPr="006955A5" w:rsidRDefault="001C6E83" w:rsidP="006955A5">
      <w:pPr>
        <w:pStyle w:val="ListParagraph"/>
        <w:numPr>
          <w:ilvl w:val="0"/>
          <w:numId w:val="18"/>
        </w:numPr>
        <w:rPr>
          <w:color w:val="000000" w:themeColor="text1"/>
        </w:rPr>
      </w:pPr>
      <w:r>
        <w:rPr>
          <w:color w:val="000000" w:themeColor="text1"/>
        </w:rPr>
        <w:t>O</w:t>
      </w:r>
      <w:r w:rsidR="00D56AA3">
        <w:rPr>
          <w:color w:val="000000" w:themeColor="text1"/>
        </w:rPr>
        <w:t>S</w:t>
      </w:r>
      <w:r>
        <w:rPr>
          <w:color w:val="000000" w:themeColor="text1"/>
        </w:rPr>
        <w:t>R</w:t>
      </w:r>
      <w:r w:rsidR="00086BD7">
        <w:rPr>
          <w:color w:val="000000" w:themeColor="text1"/>
        </w:rPr>
        <w:t xml:space="preserve"> notifies </w:t>
      </w:r>
      <w:r w:rsidR="00B76639" w:rsidRPr="006955A5">
        <w:rPr>
          <w:color w:val="000000" w:themeColor="text1"/>
        </w:rPr>
        <w:t>Fiscal and Audit Services (FAS</w:t>
      </w:r>
      <w:r w:rsidR="00B76639">
        <w:rPr>
          <w:color w:val="000000" w:themeColor="text1"/>
        </w:rPr>
        <w:t>)</w:t>
      </w:r>
      <w:r w:rsidR="00086BD7">
        <w:rPr>
          <w:color w:val="000000" w:themeColor="text1"/>
        </w:rPr>
        <w:t xml:space="preserve"> of the individual </w:t>
      </w:r>
      <w:r w:rsidR="00905DF2">
        <w:rPr>
          <w:color w:val="000000" w:themeColor="text1"/>
        </w:rPr>
        <w:t xml:space="preserve">to be </w:t>
      </w:r>
      <w:r w:rsidR="00086BD7">
        <w:rPr>
          <w:color w:val="000000" w:themeColor="text1"/>
        </w:rPr>
        <w:t>assigned t</w:t>
      </w:r>
      <w:r w:rsidR="00905DF2">
        <w:rPr>
          <w:color w:val="000000" w:themeColor="text1"/>
        </w:rPr>
        <w:t xml:space="preserve">he JV/Expense Transfer Approval role in </w:t>
      </w:r>
      <w:proofErr w:type="spellStart"/>
      <w:r w:rsidR="00905DF2">
        <w:rPr>
          <w:color w:val="000000" w:themeColor="text1"/>
        </w:rPr>
        <w:t>MyFD</w:t>
      </w:r>
      <w:proofErr w:type="spellEnd"/>
      <w:r w:rsidR="00905DF2">
        <w:rPr>
          <w:color w:val="000000" w:themeColor="text1"/>
        </w:rPr>
        <w:t xml:space="preserve">, via the ASTRA authorization system so they can review and approve </w:t>
      </w:r>
      <w:r w:rsidR="00086BD7">
        <w:rPr>
          <w:color w:val="000000" w:themeColor="text1"/>
        </w:rPr>
        <w:t>cost transfer</w:t>
      </w:r>
      <w:r w:rsidR="00905DF2">
        <w:rPr>
          <w:color w:val="000000" w:themeColor="text1"/>
        </w:rPr>
        <w:t>s</w:t>
      </w:r>
      <w:r w:rsidR="00086BD7">
        <w:rPr>
          <w:color w:val="000000" w:themeColor="text1"/>
        </w:rPr>
        <w:t xml:space="preserve">. </w:t>
      </w:r>
    </w:p>
    <w:p w14:paraId="7E183F5B" w14:textId="37E1C332" w:rsidR="00086BD7" w:rsidRDefault="001C6E83" w:rsidP="00086BD7">
      <w:pPr>
        <w:pStyle w:val="ListParagraph"/>
        <w:numPr>
          <w:ilvl w:val="0"/>
          <w:numId w:val="18"/>
        </w:numPr>
        <w:rPr>
          <w:color w:val="000000" w:themeColor="text1"/>
        </w:rPr>
      </w:pPr>
      <w:r>
        <w:rPr>
          <w:color w:val="000000" w:themeColor="text1"/>
        </w:rPr>
        <w:t>The School Administrator (or their designee)</w:t>
      </w:r>
      <w:r w:rsidR="00330A16">
        <w:rPr>
          <w:color w:val="000000" w:themeColor="text1"/>
        </w:rPr>
        <w:t xml:space="preserve"> </w:t>
      </w:r>
      <w:r w:rsidR="00581247" w:rsidRPr="006955A5">
        <w:rPr>
          <w:color w:val="000000" w:themeColor="text1"/>
        </w:rPr>
        <w:t>contacts</w:t>
      </w:r>
      <w:r w:rsidR="00B76639">
        <w:rPr>
          <w:color w:val="000000" w:themeColor="text1"/>
        </w:rPr>
        <w:t xml:space="preserve"> FAS</w:t>
      </w:r>
      <w:r w:rsidR="00581247" w:rsidRPr="006955A5">
        <w:rPr>
          <w:color w:val="000000" w:themeColor="text1"/>
        </w:rPr>
        <w:t xml:space="preserve"> to set up </w:t>
      </w:r>
      <w:r w:rsidR="005C6E32">
        <w:rPr>
          <w:color w:val="000000" w:themeColor="text1"/>
        </w:rPr>
        <w:t>ASTRA authorizations</w:t>
      </w:r>
      <w:r w:rsidR="00581247" w:rsidRPr="006955A5">
        <w:rPr>
          <w:color w:val="000000" w:themeColor="text1"/>
        </w:rPr>
        <w:t xml:space="preserve"> (</w:t>
      </w:r>
      <w:proofErr w:type="spellStart"/>
      <w:r w:rsidR="005C6E32">
        <w:rPr>
          <w:color w:val="000000" w:themeColor="text1"/>
        </w:rPr>
        <w:t>MyFD</w:t>
      </w:r>
      <w:proofErr w:type="spellEnd"/>
      <w:r w:rsidR="005C6E32">
        <w:rPr>
          <w:color w:val="000000" w:themeColor="text1"/>
        </w:rPr>
        <w:t>, purchasing, reimbursements, etc.)</w:t>
      </w:r>
    </w:p>
    <w:p w14:paraId="09F4BC45" w14:textId="28CC701A" w:rsidR="00086BD7" w:rsidRPr="00086BD7" w:rsidRDefault="00330A16" w:rsidP="00086BD7">
      <w:pPr>
        <w:pStyle w:val="ListParagraph"/>
        <w:numPr>
          <w:ilvl w:val="0"/>
          <w:numId w:val="18"/>
        </w:numPr>
        <w:rPr>
          <w:color w:val="000000" w:themeColor="text1"/>
        </w:rPr>
      </w:pPr>
      <w:r>
        <w:rPr>
          <w:color w:val="000000" w:themeColor="text1"/>
        </w:rPr>
        <w:t>O</w:t>
      </w:r>
      <w:r w:rsidR="00D56AA3">
        <w:rPr>
          <w:color w:val="000000" w:themeColor="text1"/>
        </w:rPr>
        <w:t>S</w:t>
      </w:r>
      <w:r>
        <w:rPr>
          <w:color w:val="000000" w:themeColor="text1"/>
        </w:rPr>
        <w:t>R</w:t>
      </w:r>
      <w:r w:rsidR="00086BD7" w:rsidRPr="005861F7">
        <w:rPr>
          <w:color w:val="000000" w:themeColor="text1"/>
        </w:rPr>
        <w:t xml:space="preserve"> reviews budget setup for accuracy and sets up subawards</w:t>
      </w:r>
      <w:r w:rsidR="00570B9F">
        <w:rPr>
          <w:color w:val="000000" w:themeColor="text1"/>
        </w:rPr>
        <w:t>.</w:t>
      </w:r>
    </w:p>
    <w:p w14:paraId="2C011108" w14:textId="33AC55B4" w:rsidR="00086BD7" w:rsidRPr="00086BD7" w:rsidRDefault="00086BD7" w:rsidP="00086BD7">
      <w:pPr>
        <w:pStyle w:val="ListParagraph"/>
        <w:numPr>
          <w:ilvl w:val="0"/>
          <w:numId w:val="18"/>
        </w:numPr>
        <w:rPr>
          <w:color w:val="000000" w:themeColor="text1"/>
        </w:rPr>
      </w:pPr>
      <w:r w:rsidRPr="00086BD7">
        <w:rPr>
          <w:color w:val="000000" w:themeColor="text1"/>
        </w:rPr>
        <w:t>OSP is the authorized contact for administrative and business questions from the PI to the sponsor.  OSP submits concurrence e-mail, letters, revised budgets, spending justifications and other documents to the sponsor on behalf of the PI.</w:t>
      </w:r>
    </w:p>
    <w:p w14:paraId="6D61584C" w14:textId="77777777" w:rsidR="00B70FB4" w:rsidRDefault="00B70FB4" w:rsidP="00DA65CD">
      <w:pPr>
        <w:rPr>
          <w:color w:val="000000" w:themeColor="text1"/>
        </w:rPr>
      </w:pPr>
    </w:p>
    <w:p w14:paraId="27223F6D" w14:textId="2C68604E" w:rsidR="00E12B2D" w:rsidRDefault="00E12B2D" w:rsidP="00323FE8">
      <w:pPr>
        <w:pStyle w:val="Heading4"/>
      </w:pPr>
      <w:r>
        <w:t>Expenditures</w:t>
      </w:r>
    </w:p>
    <w:p w14:paraId="345BCD2A" w14:textId="7E3CC752" w:rsidR="00E12B2D" w:rsidRDefault="00E12B2D" w:rsidP="006955A5">
      <w:pPr>
        <w:rPr>
          <w:rFonts w:cstheme="minorHAnsi"/>
        </w:rPr>
      </w:pPr>
      <w:r>
        <w:rPr>
          <w:rFonts w:cstheme="minorHAnsi"/>
        </w:rPr>
        <w:t>The PI</w:t>
      </w:r>
      <w:r w:rsidRPr="00DA65CD">
        <w:rPr>
          <w:rFonts w:cstheme="minorHAnsi"/>
        </w:rPr>
        <w:t xml:space="preserve"> </w:t>
      </w:r>
      <w:r>
        <w:rPr>
          <w:rFonts w:cstheme="minorHAnsi"/>
        </w:rPr>
        <w:t xml:space="preserve">should follow their School’s usual process for all hiring and operations expenditures on their grants. Questions about these processes should be directed to the School Administrator. </w:t>
      </w:r>
    </w:p>
    <w:p w14:paraId="7CB79271" w14:textId="507F8E24" w:rsidR="00E12B2D" w:rsidRDefault="00E12B2D" w:rsidP="006955A5">
      <w:pPr>
        <w:rPr>
          <w:rFonts w:cstheme="minorHAnsi"/>
        </w:rPr>
      </w:pPr>
    </w:p>
    <w:p w14:paraId="487CDFDB" w14:textId="7350CE99" w:rsidR="00E12B2D" w:rsidRDefault="00BB6015" w:rsidP="006955A5">
      <w:pPr>
        <w:rPr>
          <w:rFonts w:cstheme="minorHAnsi"/>
        </w:rPr>
      </w:pPr>
      <w:r>
        <w:rPr>
          <w:rFonts w:cstheme="minorHAnsi"/>
        </w:rPr>
        <w:t xml:space="preserve">While salary expenditures may be paid for faculty or staff whose primary job is in another unit, the PI will typically be the manager and timesheet approver for personnel hired on their grants in their home units. It is particularly important that the PI review and approve timesheets for hourly staff or students working on their grants, unless they have formally delegated supervision of these activities to another individual.  </w:t>
      </w:r>
    </w:p>
    <w:p w14:paraId="4BFD7F62" w14:textId="77777777" w:rsidR="00E12B2D" w:rsidRDefault="00E12B2D" w:rsidP="006955A5">
      <w:pPr>
        <w:rPr>
          <w:rFonts w:cstheme="minorHAnsi"/>
        </w:rPr>
      </w:pPr>
    </w:p>
    <w:p w14:paraId="4522DDF7" w14:textId="71F28900" w:rsidR="00E12B2D" w:rsidRDefault="00E12B2D" w:rsidP="006955A5">
      <w:pPr>
        <w:rPr>
          <w:rFonts w:cstheme="minorHAnsi"/>
        </w:rPr>
      </w:pPr>
      <w:r>
        <w:rPr>
          <w:rFonts w:cstheme="minorHAnsi"/>
        </w:rPr>
        <w:t>When expenditures are made in the Ariba purchasing system</w:t>
      </w:r>
      <w:r w:rsidR="00BB6015">
        <w:rPr>
          <w:rFonts w:cstheme="minorHAnsi"/>
        </w:rPr>
        <w:t>, the PI will be expected to serve as the funding approver. Requests for purcha</w:t>
      </w:r>
      <w:r w:rsidR="007135B8">
        <w:rPr>
          <w:rFonts w:cstheme="minorHAnsi"/>
        </w:rPr>
        <w:t>ses on a UW credit card (</w:t>
      </w:r>
      <w:proofErr w:type="spellStart"/>
      <w:r w:rsidR="007135B8">
        <w:rPr>
          <w:rFonts w:cstheme="minorHAnsi"/>
        </w:rPr>
        <w:t>ProCard</w:t>
      </w:r>
      <w:proofErr w:type="spellEnd"/>
      <w:r w:rsidR="007135B8">
        <w:rPr>
          <w:rFonts w:cstheme="minorHAnsi"/>
        </w:rPr>
        <w:t>)</w:t>
      </w:r>
      <w:r w:rsidR="00BB6015">
        <w:rPr>
          <w:rFonts w:cstheme="minorHAnsi"/>
        </w:rPr>
        <w:t xml:space="preserve"> should be made in writing whenever possible so that PI approval of these purchases can be documented.</w:t>
      </w:r>
    </w:p>
    <w:p w14:paraId="174BD338" w14:textId="3236BBD9" w:rsidR="00E12B2D" w:rsidRDefault="00E12B2D" w:rsidP="006955A5">
      <w:pPr>
        <w:rPr>
          <w:rFonts w:cstheme="minorHAnsi"/>
        </w:rPr>
      </w:pPr>
    </w:p>
    <w:p w14:paraId="78D14580" w14:textId="77777777" w:rsidR="00DA65CD" w:rsidRPr="00DA65CD" w:rsidRDefault="00DA65CD" w:rsidP="006955A5">
      <w:pPr>
        <w:rPr>
          <w:rFonts w:cstheme="minorHAnsi"/>
        </w:rPr>
      </w:pPr>
    </w:p>
    <w:p w14:paraId="003A196D" w14:textId="0EF34EC9" w:rsidR="006955A5" w:rsidRPr="006955A5" w:rsidRDefault="006955A5" w:rsidP="00323FE8">
      <w:pPr>
        <w:pStyle w:val="Heading4"/>
      </w:pPr>
      <w:r w:rsidRPr="006955A5">
        <w:t>Budget Reconciliation</w:t>
      </w:r>
    </w:p>
    <w:p w14:paraId="4FEE0CFD" w14:textId="45F551EA" w:rsidR="006955A5" w:rsidRPr="006955A5" w:rsidRDefault="006955A5" w:rsidP="006955A5">
      <w:pPr>
        <w:rPr>
          <w:rFonts w:cstheme="minorHAnsi"/>
        </w:rPr>
      </w:pPr>
      <w:r w:rsidRPr="006955A5">
        <w:rPr>
          <w:rFonts w:cstheme="minorHAnsi"/>
        </w:rPr>
        <w:t xml:space="preserve">Reconciliation is the process of matching supporting documents with charges on a sponsored project budget.  Reconciliation status is tracked in the system called </w:t>
      </w:r>
      <w:proofErr w:type="spellStart"/>
      <w:r w:rsidRPr="006955A5">
        <w:rPr>
          <w:rFonts w:cstheme="minorHAnsi"/>
        </w:rPr>
        <w:t>MyFinancialDesktop</w:t>
      </w:r>
      <w:proofErr w:type="spellEnd"/>
      <w:r w:rsidRPr="006955A5">
        <w:rPr>
          <w:rFonts w:cstheme="minorHAnsi"/>
        </w:rPr>
        <w:t xml:space="preserve"> (</w:t>
      </w:r>
      <w:proofErr w:type="spellStart"/>
      <w:r w:rsidRPr="006955A5">
        <w:rPr>
          <w:rFonts w:cstheme="minorHAnsi"/>
        </w:rPr>
        <w:t>MyF</w:t>
      </w:r>
      <w:r w:rsidR="00B76639">
        <w:rPr>
          <w:rFonts w:cstheme="minorHAnsi"/>
        </w:rPr>
        <w:t>D</w:t>
      </w:r>
      <w:proofErr w:type="spellEnd"/>
      <w:r w:rsidRPr="006955A5">
        <w:rPr>
          <w:rFonts w:cstheme="minorHAnsi"/>
        </w:rPr>
        <w:t xml:space="preserve">).  </w:t>
      </w:r>
      <w:r w:rsidR="00F513C9">
        <w:rPr>
          <w:rFonts w:cstheme="minorHAnsi"/>
        </w:rPr>
        <w:t>O</w:t>
      </w:r>
      <w:r w:rsidR="00D56AA3">
        <w:rPr>
          <w:rFonts w:cstheme="minorHAnsi"/>
        </w:rPr>
        <w:t>S</w:t>
      </w:r>
      <w:r w:rsidR="00F513C9">
        <w:rPr>
          <w:rFonts w:cstheme="minorHAnsi"/>
        </w:rPr>
        <w:t>R</w:t>
      </w:r>
      <w:r w:rsidRPr="006955A5">
        <w:rPr>
          <w:rFonts w:cstheme="minorHAnsi"/>
        </w:rPr>
        <w:t xml:space="preserve"> will reconcile budgets in the system within 30 days from the date of the month close. </w:t>
      </w:r>
    </w:p>
    <w:p w14:paraId="2BB9BC3A" w14:textId="77777777" w:rsidR="006955A5" w:rsidRPr="006955A5" w:rsidRDefault="006955A5" w:rsidP="006955A5">
      <w:pPr>
        <w:rPr>
          <w:rFonts w:cstheme="minorHAnsi"/>
        </w:rPr>
      </w:pPr>
    </w:p>
    <w:p w14:paraId="1146FC09" w14:textId="6B0A1659" w:rsidR="006955A5" w:rsidRPr="006955A5" w:rsidRDefault="006955A5" w:rsidP="006955A5">
      <w:pPr>
        <w:rPr>
          <w:rFonts w:cstheme="minorHAnsi"/>
        </w:rPr>
      </w:pPr>
      <w:r w:rsidRPr="006955A5">
        <w:rPr>
          <w:rFonts w:cstheme="minorHAnsi"/>
        </w:rPr>
        <w:t xml:space="preserve">The PI is responsible for spending the awarded funds based on the project plan. The reconciler reviews the expenditures based on the research administration principles (2 CFR 200) of allowability (after examining federal, state and UW regulations), allocability, consistently treated and reasonableness. </w:t>
      </w:r>
      <w:r w:rsidR="004F02D2">
        <w:rPr>
          <w:rFonts w:cstheme="minorHAnsi"/>
        </w:rPr>
        <w:t>O</w:t>
      </w:r>
      <w:r w:rsidR="00FB4726">
        <w:rPr>
          <w:rFonts w:cstheme="minorHAnsi"/>
        </w:rPr>
        <w:t>S</w:t>
      </w:r>
      <w:r w:rsidR="004F02D2">
        <w:rPr>
          <w:rFonts w:cstheme="minorHAnsi"/>
        </w:rPr>
        <w:t>R</w:t>
      </w:r>
      <w:r w:rsidRPr="006955A5">
        <w:rPr>
          <w:rFonts w:cstheme="minorHAnsi"/>
        </w:rPr>
        <w:t xml:space="preserve"> will reconcile</w:t>
      </w:r>
      <w:r w:rsidR="005C6E32">
        <w:rPr>
          <w:rFonts w:cstheme="minorHAnsi"/>
        </w:rPr>
        <w:t xml:space="preserve"> </w:t>
      </w:r>
      <w:r w:rsidR="007F4B79">
        <w:rPr>
          <w:rFonts w:cstheme="minorHAnsi"/>
        </w:rPr>
        <w:t xml:space="preserve">all </w:t>
      </w:r>
      <w:r w:rsidRPr="006955A5">
        <w:rPr>
          <w:rFonts w:cstheme="minorHAnsi"/>
        </w:rPr>
        <w:t>grant budgets</w:t>
      </w:r>
      <w:r w:rsidR="005C6E32">
        <w:rPr>
          <w:rFonts w:cstheme="minorHAnsi"/>
        </w:rPr>
        <w:t xml:space="preserve"> t</w:t>
      </w:r>
      <w:r w:rsidR="007F4B79">
        <w:rPr>
          <w:rFonts w:cstheme="minorHAnsi"/>
        </w:rPr>
        <w:t>o assure they</w:t>
      </w:r>
      <w:r w:rsidR="005C6E32">
        <w:rPr>
          <w:rFonts w:cstheme="minorHAnsi"/>
        </w:rPr>
        <w:t xml:space="preserve"> adhere to the University of Washington’s guidance for financial reporting</w:t>
      </w:r>
      <w:r w:rsidR="00570B9F">
        <w:rPr>
          <w:rFonts w:cstheme="minorHAnsi"/>
        </w:rPr>
        <w:t>.</w:t>
      </w:r>
    </w:p>
    <w:p w14:paraId="6B3F9A9E" w14:textId="77777777" w:rsidR="006955A5" w:rsidRPr="006955A5" w:rsidRDefault="006955A5" w:rsidP="006955A5">
      <w:pPr>
        <w:rPr>
          <w:rFonts w:cstheme="minorHAnsi"/>
        </w:rPr>
      </w:pPr>
    </w:p>
    <w:p w14:paraId="021B85D4" w14:textId="44D3204D" w:rsidR="006955A5" w:rsidRPr="006955A5" w:rsidRDefault="006955A5" w:rsidP="006955A5">
      <w:pPr>
        <w:rPr>
          <w:rFonts w:cstheme="minorHAnsi"/>
        </w:rPr>
      </w:pPr>
      <w:r w:rsidRPr="006955A5">
        <w:rPr>
          <w:rFonts w:cstheme="minorHAnsi"/>
        </w:rPr>
        <w:t xml:space="preserve">Each </w:t>
      </w:r>
      <w:r w:rsidR="00330A16">
        <w:rPr>
          <w:rFonts w:cstheme="minorHAnsi"/>
        </w:rPr>
        <w:t>School</w:t>
      </w:r>
      <w:r w:rsidRPr="006955A5">
        <w:rPr>
          <w:rFonts w:cstheme="minorHAnsi"/>
        </w:rPr>
        <w:t xml:space="preserve"> will establish and maintain a central electronic document repository for expenditure back-up.  It is the responsibility of the PI and </w:t>
      </w:r>
      <w:r w:rsidR="00330A16">
        <w:rPr>
          <w:rFonts w:cstheme="minorHAnsi"/>
        </w:rPr>
        <w:t>School</w:t>
      </w:r>
      <w:r w:rsidRPr="006955A5">
        <w:rPr>
          <w:rFonts w:cstheme="minorHAnsi"/>
        </w:rPr>
        <w:t xml:space="preserve"> </w:t>
      </w:r>
      <w:r w:rsidR="00570B9F">
        <w:rPr>
          <w:rFonts w:cstheme="minorHAnsi"/>
        </w:rPr>
        <w:t>a</w:t>
      </w:r>
      <w:r w:rsidRPr="006955A5">
        <w:rPr>
          <w:rFonts w:cstheme="minorHAnsi"/>
        </w:rPr>
        <w:t>dministrator to ensure paperwork is complete and placed in the repository.</w:t>
      </w:r>
    </w:p>
    <w:p w14:paraId="74E9D52D" w14:textId="77777777" w:rsidR="006955A5" w:rsidRPr="006955A5" w:rsidRDefault="006955A5" w:rsidP="006955A5">
      <w:pPr>
        <w:rPr>
          <w:rFonts w:cstheme="minorHAnsi"/>
        </w:rPr>
      </w:pPr>
    </w:p>
    <w:p w14:paraId="49A42446" w14:textId="086CBDEE" w:rsidR="006955A5" w:rsidRPr="006955A5" w:rsidRDefault="006955A5" w:rsidP="006955A5">
      <w:pPr>
        <w:rPr>
          <w:rFonts w:cstheme="minorHAnsi"/>
        </w:rPr>
      </w:pPr>
      <w:r w:rsidRPr="006955A5">
        <w:rPr>
          <w:rFonts w:cstheme="minorHAnsi"/>
        </w:rPr>
        <w:lastRenderedPageBreak/>
        <w:t xml:space="preserve">Once reconciled, the budget will appear in bold under “Reconciliation Status” in </w:t>
      </w:r>
      <w:proofErr w:type="spellStart"/>
      <w:r w:rsidRPr="006955A5">
        <w:rPr>
          <w:rFonts w:cstheme="minorHAnsi"/>
        </w:rPr>
        <w:t>MyFD</w:t>
      </w:r>
      <w:proofErr w:type="spellEnd"/>
      <w:r w:rsidRPr="006955A5">
        <w:rPr>
          <w:rFonts w:cstheme="minorHAnsi"/>
        </w:rPr>
        <w:t xml:space="preserve"> as reconciled.  The reconciler will notify </w:t>
      </w:r>
      <w:r w:rsidR="007F4B79">
        <w:rPr>
          <w:rFonts w:cstheme="minorHAnsi"/>
        </w:rPr>
        <w:t xml:space="preserve">the </w:t>
      </w:r>
      <w:r w:rsidRPr="006955A5">
        <w:rPr>
          <w:rFonts w:cstheme="minorHAnsi"/>
        </w:rPr>
        <w:t>PI via e-mail confirming the budget is reconciled and alert the PI to the deadline for their approval.</w:t>
      </w:r>
    </w:p>
    <w:p w14:paraId="391064D3" w14:textId="77777777" w:rsidR="006955A5" w:rsidRPr="006955A5" w:rsidRDefault="006955A5" w:rsidP="006955A5">
      <w:pPr>
        <w:rPr>
          <w:rFonts w:cstheme="minorHAnsi"/>
        </w:rPr>
      </w:pPr>
    </w:p>
    <w:p w14:paraId="44F8D2DC" w14:textId="7A5899EA" w:rsidR="006955A5" w:rsidRPr="006955A5" w:rsidRDefault="006955A5" w:rsidP="006955A5">
      <w:pPr>
        <w:rPr>
          <w:rFonts w:cstheme="minorHAnsi"/>
          <w:b/>
        </w:rPr>
      </w:pPr>
      <w:r w:rsidRPr="006955A5">
        <w:rPr>
          <w:rFonts w:cstheme="minorHAnsi"/>
          <w:b/>
        </w:rPr>
        <w:t xml:space="preserve">PIs should review budgets in </w:t>
      </w:r>
      <w:proofErr w:type="spellStart"/>
      <w:r w:rsidRPr="006955A5">
        <w:rPr>
          <w:rFonts w:cstheme="minorHAnsi"/>
          <w:b/>
        </w:rPr>
        <w:t>MyFD</w:t>
      </w:r>
      <w:proofErr w:type="spellEnd"/>
      <w:r w:rsidRPr="006955A5">
        <w:rPr>
          <w:rFonts w:cstheme="minorHAnsi"/>
          <w:b/>
        </w:rPr>
        <w:t xml:space="preserve"> immediately upon notification that the budget was reconciled.  Approval is required in </w:t>
      </w:r>
      <w:proofErr w:type="spellStart"/>
      <w:r w:rsidRPr="006955A5">
        <w:rPr>
          <w:rFonts w:cstheme="minorHAnsi"/>
          <w:b/>
        </w:rPr>
        <w:t>MyFD</w:t>
      </w:r>
      <w:proofErr w:type="spellEnd"/>
      <w:r w:rsidRPr="006955A5">
        <w:rPr>
          <w:rFonts w:cstheme="minorHAnsi"/>
          <w:b/>
        </w:rPr>
        <w:t xml:space="preserve"> within 45 days from the month-end close.</w:t>
      </w:r>
    </w:p>
    <w:p w14:paraId="18BE2475" w14:textId="77777777" w:rsidR="006955A5" w:rsidRPr="006955A5" w:rsidRDefault="006955A5" w:rsidP="006955A5">
      <w:pPr>
        <w:pStyle w:val="ListParagraph"/>
        <w:numPr>
          <w:ilvl w:val="0"/>
          <w:numId w:val="17"/>
        </w:numPr>
        <w:rPr>
          <w:rFonts w:cstheme="minorHAnsi"/>
        </w:rPr>
      </w:pPr>
      <w:r w:rsidRPr="006955A5">
        <w:rPr>
          <w:rFonts w:cstheme="minorHAnsi"/>
        </w:rPr>
        <w:t>Questions during the review should be addressed immediately with the reconciler.</w:t>
      </w:r>
    </w:p>
    <w:p w14:paraId="1AFC4B4C" w14:textId="386E897B" w:rsidR="006955A5" w:rsidRPr="00C75A27" w:rsidRDefault="006955A5" w:rsidP="006955A5">
      <w:pPr>
        <w:pStyle w:val="ListParagraph"/>
        <w:numPr>
          <w:ilvl w:val="0"/>
          <w:numId w:val="16"/>
        </w:numPr>
        <w:rPr>
          <w:rFonts w:cstheme="minorHAnsi"/>
        </w:rPr>
      </w:pPr>
      <w:r w:rsidRPr="00C75A27">
        <w:rPr>
          <w:rFonts w:cstheme="minorHAnsi"/>
        </w:rPr>
        <w:t xml:space="preserve">Unreconciled expenditures will be moved to a </w:t>
      </w:r>
      <w:r w:rsidR="007F4B79" w:rsidRPr="00C75A27">
        <w:rPr>
          <w:rFonts w:cstheme="minorHAnsi"/>
        </w:rPr>
        <w:t xml:space="preserve">school </w:t>
      </w:r>
      <w:r w:rsidRPr="00C75A27">
        <w:rPr>
          <w:rFonts w:cstheme="minorHAnsi"/>
        </w:rPr>
        <w:t>budget at 30-days post month closing</w:t>
      </w:r>
      <w:r w:rsidRPr="00C75A27">
        <w:rPr>
          <w:rFonts w:cstheme="minorHAnsi"/>
          <w:i/>
          <w:iCs/>
        </w:rPr>
        <w:t>.</w:t>
      </w:r>
      <w:r w:rsidR="00A37259" w:rsidRPr="00C75A27">
        <w:rPr>
          <w:rFonts w:cstheme="minorHAnsi"/>
          <w:i/>
          <w:iCs/>
        </w:rPr>
        <w:t xml:space="preserve"> </w:t>
      </w:r>
      <w:r w:rsidR="00C75A27" w:rsidRPr="00C75A27">
        <w:rPr>
          <w:rFonts w:cstheme="minorHAnsi"/>
        </w:rPr>
        <w:t xml:space="preserve">The </w:t>
      </w:r>
      <w:r w:rsidR="00A37259" w:rsidRPr="00C75A27">
        <w:rPr>
          <w:rFonts w:cstheme="minorHAnsi"/>
        </w:rPr>
        <w:t>reconciler will reach out for missing documents</w:t>
      </w:r>
      <w:r w:rsidR="00C75A27" w:rsidRPr="00C75A27">
        <w:rPr>
          <w:rFonts w:cstheme="minorHAnsi"/>
        </w:rPr>
        <w:t xml:space="preserve"> twice. </w:t>
      </w:r>
      <w:r w:rsidR="00A37259" w:rsidRPr="00C75A27">
        <w:rPr>
          <w:rFonts w:cstheme="minorHAnsi"/>
        </w:rPr>
        <w:t xml:space="preserve"> </w:t>
      </w:r>
    </w:p>
    <w:p w14:paraId="79E271B5" w14:textId="3415B26D" w:rsidR="0013476F" w:rsidRDefault="0013476F" w:rsidP="0013476F">
      <w:pPr>
        <w:pStyle w:val="ListParagraph"/>
        <w:numPr>
          <w:ilvl w:val="0"/>
          <w:numId w:val="16"/>
        </w:numPr>
        <w:rPr>
          <w:rFonts w:cstheme="minorHAnsi"/>
        </w:rPr>
      </w:pPr>
      <w:r w:rsidRPr="006955A5">
        <w:rPr>
          <w:rFonts w:cstheme="minorHAnsi"/>
        </w:rPr>
        <w:t xml:space="preserve">The PI’s approval by checking the box in </w:t>
      </w:r>
      <w:proofErr w:type="spellStart"/>
      <w:r w:rsidRPr="006955A5">
        <w:rPr>
          <w:rFonts w:cstheme="minorHAnsi"/>
        </w:rPr>
        <w:t>MyFD</w:t>
      </w:r>
      <w:proofErr w:type="spellEnd"/>
      <w:r w:rsidRPr="006955A5">
        <w:rPr>
          <w:rFonts w:cstheme="minorHAnsi"/>
        </w:rPr>
        <w:t xml:space="preserve"> indicates the expenditures were allowable for their project.</w:t>
      </w:r>
    </w:p>
    <w:p w14:paraId="3F6AC25C" w14:textId="4B244BAA" w:rsidR="0013476F" w:rsidRPr="00477B3B" w:rsidRDefault="00330A16" w:rsidP="0013476F">
      <w:pPr>
        <w:pStyle w:val="ListParagraph"/>
        <w:numPr>
          <w:ilvl w:val="0"/>
          <w:numId w:val="16"/>
        </w:numPr>
        <w:rPr>
          <w:rFonts w:cstheme="minorHAnsi"/>
        </w:rPr>
      </w:pPr>
      <w:r>
        <w:rPr>
          <w:rFonts w:cstheme="minorHAnsi"/>
        </w:rPr>
        <w:t>School Administrators and their Dean</w:t>
      </w:r>
      <w:r w:rsidR="0013476F" w:rsidRPr="00477B3B">
        <w:rPr>
          <w:rFonts w:cstheme="minorHAnsi"/>
        </w:rPr>
        <w:t xml:space="preserve"> will be notified if PIs have not approved their budgets</w:t>
      </w:r>
      <w:r w:rsidR="00477B3B" w:rsidRPr="00477B3B">
        <w:rPr>
          <w:rFonts w:cstheme="minorHAnsi"/>
        </w:rPr>
        <w:t xml:space="preserve"> to ensure compliance policies are followed</w:t>
      </w:r>
      <w:r w:rsidR="0013476F" w:rsidRPr="00477B3B">
        <w:rPr>
          <w:rFonts w:cstheme="minorHAnsi"/>
        </w:rPr>
        <w:t>.</w:t>
      </w:r>
      <w:r w:rsidR="00477B3B" w:rsidRPr="00477B3B">
        <w:rPr>
          <w:rFonts w:cstheme="minorHAnsi"/>
        </w:rPr>
        <w:t xml:space="preserve">  It is expected that budget approvals be resolved within a week of </w:t>
      </w:r>
      <w:r w:rsidR="00EE4770">
        <w:rPr>
          <w:rFonts w:cstheme="minorHAnsi"/>
        </w:rPr>
        <w:t xml:space="preserve">notifying </w:t>
      </w:r>
      <w:r w:rsidR="009B3D98">
        <w:rPr>
          <w:rFonts w:cstheme="minorHAnsi"/>
        </w:rPr>
        <w:t xml:space="preserve">School </w:t>
      </w:r>
      <w:r>
        <w:rPr>
          <w:rFonts w:cstheme="minorHAnsi"/>
        </w:rPr>
        <w:t>administration</w:t>
      </w:r>
      <w:r w:rsidR="00477B3B" w:rsidRPr="00477B3B">
        <w:rPr>
          <w:rFonts w:cstheme="minorHAnsi"/>
        </w:rPr>
        <w:t>.</w:t>
      </w:r>
    </w:p>
    <w:p w14:paraId="2785084A" w14:textId="63F4E39C" w:rsidR="0013476F" w:rsidRPr="006955A5" w:rsidRDefault="0013476F" w:rsidP="0013476F">
      <w:pPr>
        <w:pStyle w:val="ListParagraph"/>
        <w:numPr>
          <w:ilvl w:val="0"/>
          <w:numId w:val="16"/>
        </w:numPr>
        <w:rPr>
          <w:rFonts w:cstheme="minorHAnsi"/>
        </w:rPr>
      </w:pPr>
      <w:r w:rsidRPr="00477B3B">
        <w:rPr>
          <w:rFonts w:cstheme="minorHAnsi"/>
        </w:rPr>
        <w:t xml:space="preserve">For PIs who are </w:t>
      </w:r>
      <w:r w:rsidR="00330A16">
        <w:rPr>
          <w:rFonts w:cstheme="minorHAnsi"/>
        </w:rPr>
        <w:t>staff</w:t>
      </w:r>
      <w:r w:rsidRPr="00477B3B">
        <w:rPr>
          <w:rFonts w:cstheme="minorHAnsi"/>
        </w:rPr>
        <w:t>, the</w:t>
      </w:r>
      <w:r w:rsidR="00330A16">
        <w:rPr>
          <w:rFonts w:cstheme="minorHAnsi"/>
        </w:rPr>
        <w:t>ir</w:t>
      </w:r>
      <w:r w:rsidRPr="00477B3B">
        <w:rPr>
          <w:rFonts w:cstheme="minorHAnsi"/>
        </w:rPr>
        <w:t xml:space="preserve"> supervisor will be notified for unapproved budgets</w:t>
      </w:r>
      <w:r w:rsidR="00477B3B" w:rsidRPr="00477B3B">
        <w:rPr>
          <w:rFonts w:cstheme="minorHAnsi"/>
        </w:rPr>
        <w:t xml:space="preserve"> to ensure compliance policies are followed</w:t>
      </w:r>
      <w:r w:rsidRPr="00477B3B">
        <w:rPr>
          <w:rFonts w:cstheme="minorHAnsi"/>
        </w:rPr>
        <w:t>.</w:t>
      </w:r>
      <w:r w:rsidR="00477B3B" w:rsidRPr="00477B3B">
        <w:rPr>
          <w:rFonts w:cstheme="minorHAnsi"/>
        </w:rPr>
        <w:t xml:space="preserve">  It is expected that budget approvals be resolved within a week o</w:t>
      </w:r>
      <w:r w:rsidR="00EE4770">
        <w:rPr>
          <w:rFonts w:cstheme="minorHAnsi"/>
        </w:rPr>
        <w:t xml:space="preserve">f notifying the </w:t>
      </w:r>
      <w:r w:rsidR="00330A16">
        <w:rPr>
          <w:rFonts w:cstheme="minorHAnsi"/>
        </w:rPr>
        <w:t>PI</w:t>
      </w:r>
      <w:r w:rsidR="00EE4770">
        <w:rPr>
          <w:rFonts w:cstheme="minorHAnsi"/>
        </w:rPr>
        <w:t>’s supervisor.</w:t>
      </w:r>
    </w:p>
    <w:p w14:paraId="5BE175EE" w14:textId="1BD45995" w:rsidR="006955A5" w:rsidRPr="0013476F" w:rsidRDefault="006955A5" w:rsidP="0013476F">
      <w:pPr>
        <w:rPr>
          <w:rFonts w:cstheme="minorHAnsi"/>
        </w:rPr>
      </w:pPr>
    </w:p>
    <w:p w14:paraId="497FCB72" w14:textId="4A641BE7" w:rsidR="006955A5" w:rsidRDefault="006955A5" w:rsidP="00086BD7">
      <w:pPr>
        <w:rPr>
          <w:rFonts w:cstheme="minorHAnsi"/>
          <w:i/>
        </w:rPr>
      </w:pPr>
      <w:r w:rsidRPr="006955A5">
        <w:rPr>
          <w:rFonts w:cstheme="minorHAnsi"/>
          <w:i/>
        </w:rPr>
        <w:t xml:space="preserve">This policy adheres to the University of Washington’s </w:t>
      </w:r>
      <w:hyperlink r:id="rId11" w:history="1">
        <w:r w:rsidRPr="006955A5">
          <w:rPr>
            <w:rStyle w:val="Hyperlink"/>
            <w:rFonts w:cstheme="minorHAnsi"/>
            <w:i/>
          </w:rPr>
          <w:t>guidance</w:t>
        </w:r>
      </w:hyperlink>
      <w:r w:rsidR="00570B9F">
        <w:rPr>
          <w:rFonts w:cstheme="minorHAnsi"/>
          <w:i/>
        </w:rPr>
        <w:t xml:space="preserve"> from UW’s Financial Reporting.</w:t>
      </w:r>
    </w:p>
    <w:p w14:paraId="1C3334F8" w14:textId="77777777" w:rsidR="00A37259" w:rsidRDefault="00A37259" w:rsidP="00A37259">
      <w:pPr>
        <w:rPr>
          <w:rFonts w:cstheme="minorHAnsi"/>
        </w:rPr>
      </w:pPr>
    </w:p>
    <w:p w14:paraId="0F01483E" w14:textId="5AFDA895" w:rsidR="00A37259" w:rsidRPr="00086BD7" w:rsidRDefault="00A37259" w:rsidP="00A37259">
      <w:pPr>
        <w:rPr>
          <w:rFonts w:cstheme="minorHAnsi"/>
        </w:rPr>
      </w:pPr>
      <w:r w:rsidRPr="00F60DE2">
        <w:rPr>
          <w:rFonts w:cstheme="minorHAnsi"/>
        </w:rPr>
        <w:t xml:space="preserve">Each quarter, </w:t>
      </w:r>
      <w:r w:rsidR="009B3D98">
        <w:rPr>
          <w:rFonts w:cstheme="minorHAnsi"/>
        </w:rPr>
        <w:t>O</w:t>
      </w:r>
      <w:r w:rsidR="00C207AD">
        <w:rPr>
          <w:rFonts w:cstheme="minorHAnsi"/>
        </w:rPr>
        <w:t>S</w:t>
      </w:r>
      <w:r w:rsidR="009B3D98">
        <w:rPr>
          <w:rFonts w:cstheme="minorHAnsi"/>
        </w:rPr>
        <w:t>R</w:t>
      </w:r>
      <w:r w:rsidRPr="00F60DE2">
        <w:rPr>
          <w:rFonts w:cstheme="minorHAnsi"/>
        </w:rPr>
        <w:t xml:space="preserve"> staff will meet with the </w:t>
      </w:r>
      <w:r>
        <w:rPr>
          <w:rFonts w:cstheme="minorHAnsi"/>
        </w:rPr>
        <w:t>PI and School Administrator (or their designee) to review</w:t>
      </w:r>
      <w:r w:rsidRPr="00F60DE2">
        <w:rPr>
          <w:rFonts w:cstheme="minorHAnsi"/>
        </w:rPr>
        <w:t xml:space="preserve"> active sponsored project budgets.  Although questions can be asked at any time during an award, these sessions provide in-person communication for O</w:t>
      </w:r>
      <w:r w:rsidR="00C207AD">
        <w:rPr>
          <w:rFonts w:cstheme="minorHAnsi"/>
        </w:rPr>
        <w:t>S</w:t>
      </w:r>
      <w:r w:rsidRPr="00F60DE2">
        <w:rPr>
          <w:rFonts w:cstheme="minorHAnsi"/>
        </w:rPr>
        <w:t>R sta</w:t>
      </w:r>
      <w:r>
        <w:rPr>
          <w:rFonts w:cstheme="minorHAnsi"/>
        </w:rPr>
        <w:t xml:space="preserve">ff, PI and School Administration </w:t>
      </w:r>
      <w:r w:rsidRPr="00F60DE2">
        <w:rPr>
          <w:rFonts w:cstheme="minorHAnsi"/>
        </w:rPr>
        <w:t>an opportunity to advance understanding and promote compliance.</w:t>
      </w:r>
    </w:p>
    <w:p w14:paraId="659702A5" w14:textId="77777777" w:rsidR="00905DF2" w:rsidRDefault="00905DF2" w:rsidP="00086BD7">
      <w:pPr>
        <w:rPr>
          <w:rFonts w:cstheme="minorHAnsi"/>
          <w:b/>
        </w:rPr>
      </w:pPr>
    </w:p>
    <w:p w14:paraId="478B3F66" w14:textId="21A72798" w:rsidR="00086BD7" w:rsidRPr="00086BD7" w:rsidRDefault="00086BD7" w:rsidP="00323FE8">
      <w:pPr>
        <w:pStyle w:val="Heading4"/>
      </w:pPr>
      <w:r w:rsidRPr="00086BD7">
        <w:t>Cost Transfers</w:t>
      </w:r>
    </w:p>
    <w:p w14:paraId="440C03F2" w14:textId="4F6D6206" w:rsidR="00086BD7" w:rsidRPr="00F60DE2" w:rsidRDefault="00086BD7" w:rsidP="00086BD7">
      <w:pPr>
        <w:rPr>
          <w:rFonts w:cstheme="minorHAnsi"/>
        </w:rPr>
      </w:pPr>
      <w:r w:rsidRPr="00F60DE2">
        <w:rPr>
          <w:rFonts w:cstheme="minorHAnsi"/>
        </w:rPr>
        <w:t xml:space="preserve">The </w:t>
      </w:r>
      <w:r>
        <w:rPr>
          <w:rFonts w:cstheme="minorHAnsi"/>
        </w:rPr>
        <w:t xml:space="preserve">reconciler </w:t>
      </w:r>
      <w:r w:rsidRPr="00F60DE2">
        <w:rPr>
          <w:rFonts w:cstheme="minorHAnsi"/>
        </w:rPr>
        <w:t xml:space="preserve">will </w:t>
      </w:r>
      <w:r w:rsidR="00D56AA3">
        <w:rPr>
          <w:rFonts w:cstheme="minorHAnsi"/>
        </w:rPr>
        <w:t>review</w:t>
      </w:r>
      <w:r w:rsidR="00C569E9">
        <w:rPr>
          <w:rFonts w:cstheme="minorHAnsi"/>
        </w:rPr>
        <w:t xml:space="preserve"> </w:t>
      </w:r>
      <w:r w:rsidRPr="00F60DE2">
        <w:rPr>
          <w:rFonts w:cstheme="minorHAnsi"/>
        </w:rPr>
        <w:t>sponsored project cost transfers</w:t>
      </w:r>
      <w:r w:rsidR="00B70FB4">
        <w:rPr>
          <w:rFonts w:cstheme="minorHAnsi"/>
        </w:rPr>
        <w:t xml:space="preserve"> based on the following:</w:t>
      </w:r>
    </w:p>
    <w:p w14:paraId="1C00373A" w14:textId="77777777" w:rsidR="00086BD7" w:rsidRDefault="00086BD7" w:rsidP="00086BD7">
      <w:pPr>
        <w:pStyle w:val="ListParagraph"/>
        <w:numPr>
          <w:ilvl w:val="0"/>
          <w:numId w:val="16"/>
        </w:numPr>
        <w:rPr>
          <w:rFonts w:cstheme="minorHAnsi"/>
        </w:rPr>
      </w:pPr>
      <w:r>
        <w:rPr>
          <w:rFonts w:cstheme="minorHAnsi"/>
        </w:rPr>
        <w:t>E</w:t>
      </w:r>
      <w:r w:rsidRPr="00F60DE2">
        <w:rPr>
          <w:rFonts w:cstheme="minorHAnsi"/>
        </w:rPr>
        <w:t>valuat</w:t>
      </w:r>
      <w:r>
        <w:rPr>
          <w:rFonts w:cstheme="minorHAnsi"/>
        </w:rPr>
        <w:t xml:space="preserve">e the </w:t>
      </w:r>
      <w:r w:rsidRPr="00F60DE2">
        <w:rPr>
          <w:rFonts w:cstheme="minorHAnsi"/>
        </w:rPr>
        <w:t>justification and reasonableness of the transfer</w:t>
      </w:r>
    </w:p>
    <w:p w14:paraId="4F537D84" w14:textId="77777777" w:rsidR="00086BD7" w:rsidRPr="00F60DE2" w:rsidRDefault="00086BD7" w:rsidP="00086BD7">
      <w:pPr>
        <w:pStyle w:val="ListParagraph"/>
        <w:numPr>
          <w:ilvl w:val="0"/>
          <w:numId w:val="16"/>
        </w:numPr>
        <w:rPr>
          <w:rFonts w:cstheme="minorHAnsi"/>
        </w:rPr>
      </w:pPr>
      <w:r>
        <w:rPr>
          <w:rFonts w:cstheme="minorHAnsi"/>
        </w:rPr>
        <w:t>Determine timeliness, including justification if more than 120 days</w:t>
      </w:r>
    </w:p>
    <w:p w14:paraId="51031BCD" w14:textId="32566AE1" w:rsidR="00086BD7" w:rsidRDefault="00086BD7" w:rsidP="00086BD7">
      <w:pPr>
        <w:pStyle w:val="ListParagraph"/>
        <w:numPr>
          <w:ilvl w:val="0"/>
          <w:numId w:val="16"/>
        </w:numPr>
        <w:rPr>
          <w:rFonts w:cstheme="minorHAnsi"/>
        </w:rPr>
      </w:pPr>
      <w:r>
        <w:rPr>
          <w:rFonts w:cstheme="minorHAnsi"/>
        </w:rPr>
        <w:t>M</w:t>
      </w:r>
      <w:r w:rsidRPr="00F60DE2">
        <w:rPr>
          <w:rFonts w:cstheme="minorHAnsi"/>
        </w:rPr>
        <w:t>ust have PI approval</w:t>
      </w:r>
      <w:r w:rsidR="0075366A">
        <w:rPr>
          <w:rFonts w:cstheme="minorHAnsi"/>
        </w:rPr>
        <w:t xml:space="preserve"> which will be kept with the reconciliation documents maintained by the</w:t>
      </w:r>
      <w:r w:rsidR="009A4E35">
        <w:rPr>
          <w:rFonts w:cstheme="minorHAnsi"/>
        </w:rPr>
        <w:t xml:space="preserve"> school</w:t>
      </w:r>
    </w:p>
    <w:p w14:paraId="384F0664" w14:textId="1E7DD9CE" w:rsidR="00D56AA3" w:rsidRPr="00D56AA3" w:rsidRDefault="00D56AA3" w:rsidP="00D56AA3">
      <w:pPr>
        <w:rPr>
          <w:rFonts w:cstheme="minorHAnsi"/>
        </w:rPr>
      </w:pPr>
      <w:r>
        <w:rPr>
          <w:rFonts w:cstheme="minorHAnsi"/>
        </w:rPr>
        <w:t>The reconciler will communicate to the School Administrators questions and issues concerning the cost transfers via e-mail.  Once the questions and/or issues have been resolved, the reconciler will notify the Administrator that the cost transfers may be submitted.</w:t>
      </w:r>
    </w:p>
    <w:p w14:paraId="38EBC256" w14:textId="77777777" w:rsidR="00086BD7" w:rsidRPr="00086BD7" w:rsidRDefault="00086BD7" w:rsidP="00086BD7">
      <w:pPr>
        <w:rPr>
          <w:rFonts w:cstheme="minorHAnsi"/>
          <w:i/>
        </w:rPr>
      </w:pPr>
    </w:p>
    <w:p w14:paraId="22A6EAB9" w14:textId="77777777" w:rsidR="006955A5" w:rsidRPr="006955A5" w:rsidRDefault="006955A5" w:rsidP="00323FE8">
      <w:pPr>
        <w:pStyle w:val="Heading4"/>
      </w:pPr>
      <w:r w:rsidRPr="006955A5">
        <w:t>Effort Reporting</w:t>
      </w:r>
    </w:p>
    <w:p w14:paraId="4D7A6F43" w14:textId="7D085594" w:rsidR="006955A5" w:rsidRPr="006955A5" w:rsidRDefault="006955A5" w:rsidP="006955A5">
      <w:pPr>
        <w:rPr>
          <w:color w:val="000000" w:themeColor="text1"/>
        </w:rPr>
      </w:pPr>
      <w:r w:rsidRPr="006955A5">
        <w:rPr>
          <w:rFonts w:cstheme="minorHAnsi"/>
        </w:rPr>
        <w:t xml:space="preserve">All UW employees paid on a sponsored project (or contributing effort to a sponsored project) will have the effort recorded in one of two University systems.  </w:t>
      </w:r>
      <w:r>
        <w:rPr>
          <w:rFonts w:cstheme="minorHAnsi"/>
        </w:rPr>
        <w:t xml:space="preserve">The PI </w:t>
      </w:r>
      <w:r w:rsidRPr="006955A5">
        <w:rPr>
          <w:color w:val="000000" w:themeColor="text1"/>
        </w:rPr>
        <w:t xml:space="preserve">reviews and approves Grant &amp; Contract Certification Reports (GCCRs) quarterly and Faculty Effort Certifications (FECs) </w:t>
      </w:r>
      <w:r w:rsidR="009A4E35">
        <w:rPr>
          <w:color w:val="000000" w:themeColor="text1"/>
        </w:rPr>
        <w:t>twice</w:t>
      </w:r>
      <w:r w:rsidRPr="006955A5">
        <w:rPr>
          <w:color w:val="000000" w:themeColor="text1"/>
        </w:rPr>
        <w:t xml:space="preserve"> per year.  O</w:t>
      </w:r>
      <w:r w:rsidR="00FB4726">
        <w:rPr>
          <w:color w:val="000000" w:themeColor="text1"/>
        </w:rPr>
        <w:t>S</w:t>
      </w:r>
      <w:r w:rsidRPr="006955A5">
        <w:rPr>
          <w:color w:val="000000" w:themeColor="text1"/>
        </w:rPr>
        <w:t>R tracks GCCRs and FECs and is available to answer questions as necessary on both.</w:t>
      </w:r>
    </w:p>
    <w:p w14:paraId="78877892" w14:textId="77777777" w:rsidR="006955A5" w:rsidRPr="00F60DE2" w:rsidRDefault="006955A5" w:rsidP="006955A5">
      <w:pPr>
        <w:rPr>
          <w:rFonts w:cstheme="minorHAnsi"/>
        </w:rPr>
      </w:pPr>
    </w:p>
    <w:p w14:paraId="0029702E" w14:textId="77777777" w:rsidR="006955A5" w:rsidRPr="00F60DE2" w:rsidRDefault="006955A5" w:rsidP="006955A5">
      <w:pPr>
        <w:pStyle w:val="ListParagraph"/>
        <w:numPr>
          <w:ilvl w:val="0"/>
          <w:numId w:val="16"/>
        </w:numPr>
        <w:rPr>
          <w:rFonts w:cstheme="minorHAnsi"/>
        </w:rPr>
      </w:pPr>
      <w:r w:rsidRPr="00F60DE2">
        <w:rPr>
          <w:rFonts w:cstheme="minorHAnsi"/>
        </w:rPr>
        <w:t>Electronic Faculty Effort Certification System (</w:t>
      </w:r>
      <w:proofErr w:type="spellStart"/>
      <w:r w:rsidRPr="00F60DE2">
        <w:rPr>
          <w:rFonts w:cstheme="minorHAnsi"/>
        </w:rPr>
        <w:t>eFECS</w:t>
      </w:r>
      <w:proofErr w:type="spellEnd"/>
      <w:r w:rsidRPr="00F60DE2">
        <w:rPr>
          <w:rFonts w:cstheme="minorHAnsi"/>
        </w:rPr>
        <w:t xml:space="preserve">) records all </w:t>
      </w:r>
      <w:r w:rsidRPr="00F60DE2">
        <w:rPr>
          <w:rFonts w:cstheme="minorHAnsi"/>
          <w:b/>
        </w:rPr>
        <w:t>faculty</w:t>
      </w:r>
      <w:r w:rsidRPr="00F60DE2">
        <w:rPr>
          <w:rFonts w:cstheme="minorHAnsi"/>
        </w:rPr>
        <w:t xml:space="preserve"> effort.</w:t>
      </w:r>
    </w:p>
    <w:p w14:paraId="50C140FE" w14:textId="77777777" w:rsidR="006955A5" w:rsidRPr="00F60DE2" w:rsidRDefault="006955A5" w:rsidP="006955A5">
      <w:pPr>
        <w:pStyle w:val="ListParagraph"/>
        <w:numPr>
          <w:ilvl w:val="1"/>
          <w:numId w:val="16"/>
        </w:numPr>
        <w:rPr>
          <w:rFonts w:cstheme="minorHAnsi"/>
        </w:rPr>
      </w:pPr>
      <w:r w:rsidRPr="00F60DE2">
        <w:rPr>
          <w:rFonts w:cstheme="minorHAnsi"/>
        </w:rPr>
        <w:lastRenderedPageBreak/>
        <w:t>Faculty with effort on sponsored programs are required to review and certify their effort twice a year.  Management Accounting and Analysis (MAA) sends out e-mails when the effort is ready to be certified.</w:t>
      </w:r>
    </w:p>
    <w:p w14:paraId="20E73787" w14:textId="5039367E" w:rsidR="006955A5" w:rsidRPr="00F60DE2" w:rsidRDefault="006955A5" w:rsidP="006955A5">
      <w:pPr>
        <w:pStyle w:val="ListParagraph"/>
        <w:numPr>
          <w:ilvl w:val="1"/>
          <w:numId w:val="16"/>
        </w:numPr>
        <w:rPr>
          <w:rFonts w:cstheme="minorHAnsi"/>
        </w:rPr>
      </w:pPr>
      <w:r w:rsidRPr="00F60DE2">
        <w:rPr>
          <w:rFonts w:cstheme="minorHAnsi"/>
        </w:rPr>
        <w:t xml:space="preserve">If there are questions during the review, the faculty member should contact their </w:t>
      </w:r>
      <w:r w:rsidR="00330A16">
        <w:rPr>
          <w:rFonts w:cstheme="minorHAnsi"/>
        </w:rPr>
        <w:t>School</w:t>
      </w:r>
      <w:r w:rsidR="006B6576">
        <w:rPr>
          <w:rFonts w:cstheme="minorHAnsi"/>
        </w:rPr>
        <w:t xml:space="preserve"> Administrator</w:t>
      </w:r>
      <w:r w:rsidRPr="00F60DE2">
        <w:rPr>
          <w:rFonts w:cstheme="minorHAnsi"/>
        </w:rPr>
        <w:t xml:space="preserve"> and </w:t>
      </w:r>
      <w:r w:rsidR="00817EED">
        <w:rPr>
          <w:rFonts w:cstheme="minorHAnsi"/>
        </w:rPr>
        <w:t>O</w:t>
      </w:r>
      <w:r w:rsidR="00C207AD">
        <w:rPr>
          <w:rFonts w:cstheme="minorHAnsi"/>
        </w:rPr>
        <w:t>S</w:t>
      </w:r>
      <w:r w:rsidR="00817EED">
        <w:rPr>
          <w:rFonts w:cstheme="minorHAnsi"/>
        </w:rPr>
        <w:t>R</w:t>
      </w:r>
      <w:r w:rsidRPr="00F60DE2">
        <w:rPr>
          <w:rFonts w:cstheme="minorHAnsi"/>
        </w:rPr>
        <w:t>.</w:t>
      </w:r>
    </w:p>
    <w:p w14:paraId="614A0371" w14:textId="1B9E8D07" w:rsidR="006955A5" w:rsidRDefault="006955A5" w:rsidP="006955A5">
      <w:pPr>
        <w:pStyle w:val="ListParagraph"/>
        <w:numPr>
          <w:ilvl w:val="1"/>
          <w:numId w:val="16"/>
        </w:numPr>
        <w:rPr>
          <w:rFonts w:cstheme="minorHAnsi"/>
        </w:rPr>
      </w:pPr>
      <w:r w:rsidRPr="00F60DE2">
        <w:rPr>
          <w:rFonts w:cstheme="minorHAnsi"/>
        </w:rPr>
        <w:t>The faculty should certify their effort by the deadline provided by MAA.</w:t>
      </w:r>
    </w:p>
    <w:p w14:paraId="2C9506F5" w14:textId="6DE64D5F" w:rsidR="00477B3B" w:rsidRPr="00F60DE2" w:rsidRDefault="00477B3B" w:rsidP="006955A5">
      <w:pPr>
        <w:pStyle w:val="ListParagraph"/>
        <w:numPr>
          <w:ilvl w:val="1"/>
          <w:numId w:val="16"/>
        </w:numPr>
        <w:rPr>
          <w:rFonts w:cstheme="minorHAnsi"/>
        </w:rPr>
      </w:pPr>
      <w:r>
        <w:rPr>
          <w:rFonts w:cstheme="minorHAnsi"/>
        </w:rPr>
        <w:t xml:space="preserve">See MAA’s </w:t>
      </w:r>
      <w:r w:rsidR="006B6576">
        <w:rPr>
          <w:rFonts w:cstheme="minorHAnsi"/>
        </w:rPr>
        <w:t>follow-up</w:t>
      </w:r>
      <w:r>
        <w:rPr>
          <w:rFonts w:cstheme="minorHAnsi"/>
        </w:rPr>
        <w:t xml:space="preserve"> policies </w:t>
      </w:r>
      <w:hyperlink r:id="rId12" w:history="1">
        <w:r w:rsidRPr="006B6576">
          <w:rPr>
            <w:rStyle w:val="Hyperlink"/>
            <w:rFonts w:cstheme="minorHAnsi"/>
          </w:rPr>
          <w:t>here</w:t>
        </w:r>
      </w:hyperlink>
      <w:r>
        <w:rPr>
          <w:rFonts w:cstheme="minorHAnsi"/>
        </w:rPr>
        <w:t>.</w:t>
      </w:r>
    </w:p>
    <w:p w14:paraId="6F72F83D" w14:textId="77777777" w:rsidR="006955A5" w:rsidRPr="00F60DE2" w:rsidRDefault="006955A5" w:rsidP="006955A5">
      <w:pPr>
        <w:pStyle w:val="ListParagraph"/>
        <w:numPr>
          <w:ilvl w:val="0"/>
          <w:numId w:val="16"/>
        </w:numPr>
        <w:rPr>
          <w:rFonts w:cstheme="minorHAnsi"/>
        </w:rPr>
      </w:pPr>
      <w:r w:rsidRPr="00F60DE2">
        <w:rPr>
          <w:rFonts w:cstheme="minorHAnsi"/>
        </w:rPr>
        <w:t xml:space="preserve">Grant and Contract Certification Report (GCCR) details </w:t>
      </w:r>
      <w:r w:rsidRPr="00F60DE2">
        <w:rPr>
          <w:rFonts w:cstheme="minorHAnsi"/>
          <w:b/>
        </w:rPr>
        <w:t>non-faculty</w:t>
      </w:r>
      <w:r w:rsidRPr="00F60DE2">
        <w:rPr>
          <w:rFonts w:cstheme="minorHAnsi"/>
        </w:rPr>
        <w:t xml:space="preserve"> effort.</w:t>
      </w:r>
    </w:p>
    <w:p w14:paraId="28AA3579" w14:textId="2F8CE9D4" w:rsidR="006955A5" w:rsidRPr="00F60DE2" w:rsidRDefault="006955A5" w:rsidP="006955A5">
      <w:pPr>
        <w:pStyle w:val="ListParagraph"/>
        <w:numPr>
          <w:ilvl w:val="1"/>
          <w:numId w:val="16"/>
        </w:numPr>
        <w:rPr>
          <w:rFonts w:cstheme="minorHAnsi"/>
        </w:rPr>
      </w:pPr>
      <w:r w:rsidRPr="00F60DE2">
        <w:rPr>
          <w:rFonts w:cstheme="minorHAnsi"/>
        </w:rPr>
        <w:t xml:space="preserve">Each PI with an award under a UW Bothell org code </w:t>
      </w:r>
      <w:r w:rsidR="003B5533">
        <w:rPr>
          <w:rFonts w:cstheme="minorHAnsi"/>
        </w:rPr>
        <w:t xml:space="preserve">that also employs non-faculty individuals </w:t>
      </w:r>
      <w:r w:rsidRPr="00F60DE2">
        <w:rPr>
          <w:rFonts w:cstheme="minorHAnsi"/>
        </w:rPr>
        <w:t xml:space="preserve">will receive a report from the </w:t>
      </w:r>
      <w:r w:rsidR="00817EED">
        <w:rPr>
          <w:rFonts w:cstheme="minorHAnsi"/>
        </w:rPr>
        <w:t>O</w:t>
      </w:r>
      <w:r w:rsidR="00C207AD">
        <w:rPr>
          <w:rFonts w:cstheme="minorHAnsi"/>
        </w:rPr>
        <w:t>S</w:t>
      </w:r>
      <w:r w:rsidR="00817EED">
        <w:rPr>
          <w:rFonts w:cstheme="minorHAnsi"/>
        </w:rPr>
        <w:t>R</w:t>
      </w:r>
      <w:r w:rsidRPr="00F60DE2">
        <w:rPr>
          <w:rFonts w:cstheme="minorHAnsi"/>
        </w:rPr>
        <w:t xml:space="preserve"> budget analyst each quarter to review the employees and effort that are charged to the sponsored project.</w:t>
      </w:r>
    </w:p>
    <w:p w14:paraId="24D2196F" w14:textId="77777777" w:rsidR="006955A5" w:rsidRPr="00F60DE2" w:rsidRDefault="006955A5" w:rsidP="006955A5">
      <w:pPr>
        <w:pStyle w:val="ListParagraph"/>
        <w:numPr>
          <w:ilvl w:val="1"/>
          <w:numId w:val="16"/>
        </w:numPr>
        <w:rPr>
          <w:rFonts w:cstheme="minorHAnsi"/>
        </w:rPr>
      </w:pPr>
      <w:r w:rsidRPr="00F60DE2">
        <w:rPr>
          <w:rFonts w:cstheme="minorHAnsi"/>
        </w:rPr>
        <w:t>This report should be reviewed for employees who are listed and those who are not.</w:t>
      </w:r>
    </w:p>
    <w:p w14:paraId="4B6CF325" w14:textId="3DEC5BDC" w:rsidR="006955A5" w:rsidRPr="006955A5" w:rsidRDefault="006955A5" w:rsidP="006955A5">
      <w:pPr>
        <w:pStyle w:val="ListParagraph"/>
        <w:numPr>
          <w:ilvl w:val="1"/>
          <w:numId w:val="16"/>
        </w:numPr>
        <w:rPr>
          <w:rFonts w:cstheme="minorHAnsi"/>
        </w:rPr>
      </w:pPr>
      <w:r w:rsidRPr="00F60DE2">
        <w:rPr>
          <w:rFonts w:cstheme="minorHAnsi"/>
        </w:rPr>
        <w:t>Questions can be directed to the O</w:t>
      </w:r>
      <w:r w:rsidR="00C207AD">
        <w:rPr>
          <w:rFonts w:cstheme="minorHAnsi"/>
        </w:rPr>
        <w:t>S</w:t>
      </w:r>
      <w:r w:rsidRPr="00F60DE2">
        <w:rPr>
          <w:rFonts w:cstheme="minorHAnsi"/>
        </w:rPr>
        <w:t>R budget analyst and the</w:t>
      </w:r>
      <w:r w:rsidR="001C6E83">
        <w:rPr>
          <w:rFonts w:cstheme="minorHAnsi"/>
        </w:rPr>
        <w:t xml:space="preserve"> School</w:t>
      </w:r>
      <w:r w:rsidR="00477B3B">
        <w:rPr>
          <w:rFonts w:cstheme="minorHAnsi"/>
        </w:rPr>
        <w:t xml:space="preserve"> Administrator</w:t>
      </w:r>
      <w:r w:rsidRPr="00F60DE2">
        <w:rPr>
          <w:rFonts w:cstheme="minorHAnsi"/>
        </w:rPr>
        <w:t>.</w:t>
      </w:r>
    </w:p>
    <w:p w14:paraId="7C29A8A6" w14:textId="0335FB55" w:rsidR="006955A5" w:rsidRPr="006955A5" w:rsidRDefault="006955A5" w:rsidP="006955A5">
      <w:pPr>
        <w:pStyle w:val="ListParagraph"/>
        <w:numPr>
          <w:ilvl w:val="1"/>
          <w:numId w:val="16"/>
        </w:numPr>
        <w:rPr>
          <w:rFonts w:cstheme="minorHAnsi"/>
        </w:rPr>
      </w:pPr>
      <w:r w:rsidRPr="00F60DE2">
        <w:rPr>
          <w:rFonts w:cstheme="minorHAnsi"/>
        </w:rPr>
        <w:t xml:space="preserve">All GCCRs are to be printed and signed and the hardcopy returned to the budget </w:t>
      </w:r>
      <w:r w:rsidRPr="006955A5">
        <w:rPr>
          <w:rFonts w:cstheme="minorHAnsi"/>
        </w:rPr>
        <w:t>analyst</w:t>
      </w:r>
      <w:r w:rsidR="00477B3B">
        <w:rPr>
          <w:rFonts w:cstheme="minorHAnsi"/>
        </w:rPr>
        <w:t xml:space="preserve"> within 30 days of receipt.</w:t>
      </w:r>
    </w:p>
    <w:p w14:paraId="6AD57212" w14:textId="77777777" w:rsidR="006955A5" w:rsidRPr="006955A5" w:rsidRDefault="006955A5" w:rsidP="006955A5">
      <w:pPr>
        <w:pStyle w:val="xmsolistparagraph"/>
        <w:numPr>
          <w:ilvl w:val="1"/>
          <w:numId w:val="16"/>
        </w:numPr>
        <w:rPr>
          <w:rFonts w:asciiTheme="minorHAnsi" w:hAnsiTheme="minorHAnsi"/>
        </w:rPr>
      </w:pPr>
      <w:r w:rsidRPr="006955A5">
        <w:rPr>
          <w:rFonts w:asciiTheme="minorHAnsi" w:hAnsiTheme="minorHAnsi"/>
        </w:rPr>
        <w:t>Budget fiscal analyst lead will keep a record of the reports received and not received during the certification period.</w:t>
      </w:r>
    </w:p>
    <w:p w14:paraId="671D8225" w14:textId="563D76BE" w:rsidR="0021462E" w:rsidRPr="00A37259" w:rsidRDefault="006955A5" w:rsidP="0021462E">
      <w:pPr>
        <w:pStyle w:val="xmsolistparagraph"/>
        <w:numPr>
          <w:ilvl w:val="1"/>
          <w:numId w:val="16"/>
        </w:numPr>
        <w:rPr>
          <w:rFonts w:asciiTheme="minorHAnsi" w:hAnsiTheme="minorHAnsi"/>
        </w:rPr>
      </w:pPr>
      <w:r w:rsidRPr="006955A5">
        <w:rPr>
          <w:rFonts w:asciiTheme="minorHAnsi" w:hAnsiTheme="minorHAnsi"/>
        </w:rPr>
        <w:t xml:space="preserve">If the GCCRs are not returned within 30 days of initial contact, the budget fiscal analyst lead will contact the </w:t>
      </w:r>
      <w:r w:rsidR="001C6E83">
        <w:rPr>
          <w:rFonts w:asciiTheme="minorHAnsi" w:hAnsiTheme="minorHAnsi"/>
        </w:rPr>
        <w:t xml:space="preserve">School Administrator </w:t>
      </w:r>
      <w:r w:rsidRPr="006955A5">
        <w:rPr>
          <w:rFonts w:asciiTheme="minorHAnsi" w:hAnsiTheme="minorHAnsi"/>
        </w:rPr>
        <w:t>to ensure compliance with the University’s deadline</w:t>
      </w:r>
      <w:r w:rsidR="00EE4770">
        <w:rPr>
          <w:rFonts w:asciiTheme="minorHAnsi" w:hAnsiTheme="minorHAnsi"/>
        </w:rPr>
        <w:t xml:space="preserve">.  </w:t>
      </w:r>
      <w:r w:rsidR="00EE4770" w:rsidRPr="00EE4770">
        <w:rPr>
          <w:rFonts w:asciiTheme="minorHAnsi" w:hAnsiTheme="minorHAnsi"/>
        </w:rPr>
        <w:t xml:space="preserve">If </w:t>
      </w:r>
      <w:r w:rsidR="001C6E83">
        <w:rPr>
          <w:rFonts w:asciiTheme="minorHAnsi" w:hAnsiTheme="minorHAnsi"/>
        </w:rPr>
        <w:t xml:space="preserve">the </w:t>
      </w:r>
      <w:r w:rsidR="00EE4770" w:rsidRPr="00EE4770">
        <w:rPr>
          <w:rFonts w:asciiTheme="minorHAnsi" w:hAnsiTheme="minorHAnsi"/>
        </w:rPr>
        <w:t>PI</w:t>
      </w:r>
      <w:r w:rsidR="001C6E83">
        <w:rPr>
          <w:rFonts w:asciiTheme="minorHAnsi" w:hAnsiTheme="minorHAnsi"/>
        </w:rPr>
        <w:t xml:space="preserve"> is staff</w:t>
      </w:r>
      <w:r w:rsidR="00EE4770" w:rsidRPr="00EE4770">
        <w:rPr>
          <w:rFonts w:asciiTheme="minorHAnsi" w:hAnsiTheme="minorHAnsi"/>
        </w:rPr>
        <w:t>, the</w:t>
      </w:r>
      <w:r w:rsidR="001C6E83">
        <w:rPr>
          <w:rFonts w:asciiTheme="minorHAnsi" w:hAnsiTheme="minorHAnsi"/>
        </w:rPr>
        <w:t>ir</w:t>
      </w:r>
      <w:r w:rsidR="00EE4770" w:rsidRPr="00EE4770">
        <w:rPr>
          <w:rFonts w:asciiTheme="minorHAnsi" w:hAnsiTheme="minorHAnsi"/>
        </w:rPr>
        <w:t xml:space="preserve"> supervisor will </w:t>
      </w:r>
      <w:r w:rsidR="001C6E83">
        <w:rPr>
          <w:rFonts w:asciiTheme="minorHAnsi" w:hAnsiTheme="minorHAnsi"/>
        </w:rPr>
        <w:t xml:space="preserve">also </w:t>
      </w:r>
      <w:r w:rsidR="00EE4770" w:rsidRPr="00EE4770">
        <w:rPr>
          <w:rFonts w:asciiTheme="minorHAnsi" w:hAnsiTheme="minorHAnsi"/>
        </w:rPr>
        <w:t xml:space="preserve">be </w:t>
      </w:r>
      <w:r w:rsidR="00EE4770">
        <w:rPr>
          <w:rFonts w:asciiTheme="minorHAnsi" w:hAnsiTheme="minorHAnsi"/>
        </w:rPr>
        <w:t>notified of non-compliance.</w:t>
      </w:r>
    </w:p>
    <w:p w14:paraId="14100C36" w14:textId="5D8660B6" w:rsidR="0021462E" w:rsidRPr="006955A5" w:rsidRDefault="006955A5" w:rsidP="00323FE8">
      <w:pPr>
        <w:pStyle w:val="Heading3"/>
      </w:pPr>
      <w:r>
        <w:t>CLOSEOUT</w:t>
      </w:r>
    </w:p>
    <w:p w14:paraId="7574FF00" w14:textId="4BF33ADD" w:rsidR="00086BD7" w:rsidRPr="00086BD7" w:rsidRDefault="00086BD7" w:rsidP="00086BD7">
      <w:pPr>
        <w:pStyle w:val="ListParagraph"/>
        <w:numPr>
          <w:ilvl w:val="0"/>
          <w:numId w:val="19"/>
        </w:numPr>
        <w:rPr>
          <w:rFonts w:cstheme="minorHAnsi"/>
        </w:rPr>
      </w:pPr>
      <w:r w:rsidRPr="00086BD7">
        <w:rPr>
          <w:rFonts w:cstheme="minorHAnsi"/>
        </w:rPr>
        <w:t xml:space="preserve">With 90 days remaining in the award period, the PI should review the budget to determine if a no-cost extension is needed. </w:t>
      </w:r>
      <w:r w:rsidR="007A57D5">
        <w:rPr>
          <w:rFonts w:cstheme="minorHAnsi"/>
        </w:rPr>
        <w:t xml:space="preserve"> O</w:t>
      </w:r>
      <w:r w:rsidR="00C207AD">
        <w:rPr>
          <w:rFonts w:cstheme="minorHAnsi"/>
        </w:rPr>
        <w:t>S</w:t>
      </w:r>
      <w:r w:rsidR="007A57D5">
        <w:rPr>
          <w:rFonts w:cstheme="minorHAnsi"/>
        </w:rPr>
        <w:t>R</w:t>
      </w:r>
      <w:r w:rsidRPr="00086BD7">
        <w:rPr>
          <w:rFonts w:cstheme="minorHAnsi"/>
        </w:rPr>
        <w:t xml:space="preserve"> can assist with budget projections and </w:t>
      </w:r>
      <w:r w:rsidR="007A57D5">
        <w:rPr>
          <w:rFonts w:cstheme="minorHAnsi"/>
        </w:rPr>
        <w:t xml:space="preserve">OSP </w:t>
      </w:r>
      <w:r w:rsidRPr="00086BD7">
        <w:rPr>
          <w:rFonts w:cstheme="minorHAnsi"/>
        </w:rPr>
        <w:t>will submit paperwork to the sponsor if the extension is needed.</w:t>
      </w:r>
    </w:p>
    <w:p w14:paraId="01C891E0" w14:textId="4D2609C0" w:rsidR="00086BD7" w:rsidRDefault="00086BD7" w:rsidP="00086BD7">
      <w:pPr>
        <w:pStyle w:val="ListParagraph"/>
        <w:numPr>
          <w:ilvl w:val="0"/>
          <w:numId w:val="19"/>
        </w:numPr>
        <w:rPr>
          <w:rFonts w:cstheme="minorHAnsi"/>
        </w:rPr>
      </w:pPr>
      <w:r w:rsidRPr="00086BD7">
        <w:rPr>
          <w:rFonts w:cstheme="minorHAnsi"/>
        </w:rPr>
        <w:t>The PI is responsible for submitting the final technical report.  GCA will submit the final financial report.  If the sponsor requires extensive information for the final financial report, the</w:t>
      </w:r>
      <w:r w:rsidR="001C6E83">
        <w:rPr>
          <w:rFonts w:cstheme="minorHAnsi"/>
        </w:rPr>
        <w:t xml:space="preserve"> PI</w:t>
      </w:r>
      <w:r w:rsidRPr="00086BD7">
        <w:rPr>
          <w:rFonts w:cstheme="minorHAnsi"/>
        </w:rPr>
        <w:t xml:space="preserve"> </w:t>
      </w:r>
      <w:r w:rsidR="001C6E83">
        <w:rPr>
          <w:rFonts w:cstheme="minorHAnsi"/>
        </w:rPr>
        <w:t>should</w:t>
      </w:r>
      <w:r w:rsidRPr="00086BD7">
        <w:rPr>
          <w:rFonts w:cstheme="minorHAnsi"/>
        </w:rPr>
        <w:t xml:space="preserve"> contact </w:t>
      </w:r>
      <w:r w:rsidR="001C6E83">
        <w:rPr>
          <w:rFonts w:cstheme="minorHAnsi"/>
        </w:rPr>
        <w:t>O</w:t>
      </w:r>
      <w:r w:rsidR="00C207AD">
        <w:rPr>
          <w:rFonts w:cstheme="minorHAnsi"/>
        </w:rPr>
        <w:t>S</w:t>
      </w:r>
      <w:r w:rsidR="001C6E83">
        <w:rPr>
          <w:rFonts w:cstheme="minorHAnsi"/>
        </w:rPr>
        <w:t>R</w:t>
      </w:r>
      <w:r w:rsidRPr="00086BD7">
        <w:rPr>
          <w:rFonts w:cstheme="minorHAnsi"/>
        </w:rPr>
        <w:t xml:space="preserve"> for assistance.</w:t>
      </w:r>
    </w:p>
    <w:p w14:paraId="1D0DFAE1" w14:textId="77777777" w:rsidR="00D32997" w:rsidRPr="00D32997" w:rsidRDefault="00D32997" w:rsidP="00D32997">
      <w:pPr>
        <w:rPr>
          <w:rFonts w:cstheme="minorHAnsi"/>
        </w:rPr>
      </w:pPr>
    </w:p>
    <w:p w14:paraId="442CCFF3" w14:textId="3F1F5A43" w:rsidR="0024460A" w:rsidRPr="00B70FB4" w:rsidRDefault="00B70FB4" w:rsidP="00323FE8">
      <w:pPr>
        <w:pStyle w:val="Heading2"/>
      </w:pPr>
      <w:r w:rsidRPr="00B70FB4">
        <w:t>Roles &amp; Responsibilities Summary Table</w:t>
      </w:r>
    </w:p>
    <w:p w14:paraId="0AC31A2F" w14:textId="31666A3D" w:rsidR="00086BD7" w:rsidRDefault="00086BD7" w:rsidP="00086BD7">
      <w:pPr>
        <w:rPr>
          <w:rFonts w:cstheme="minorHAnsi"/>
        </w:rPr>
      </w:pPr>
    </w:p>
    <w:tbl>
      <w:tblPr>
        <w:tblStyle w:val="TableGrid"/>
        <w:tblW w:w="8725" w:type="dxa"/>
        <w:tblLayout w:type="fixed"/>
        <w:tblLook w:val="04A0" w:firstRow="1" w:lastRow="0" w:firstColumn="1" w:lastColumn="0" w:noHBand="0" w:noVBand="1"/>
      </w:tblPr>
      <w:tblGrid>
        <w:gridCol w:w="3955"/>
        <w:gridCol w:w="810"/>
        <w:gridCol w:w="900"/>
        <w:gridCol w:w="630"/>
        <w:gridCol w:w="630"/>
        <w:gridCol w:w="900"/>
        <w:gridCol w:w="900"/>
      </w:tblGrid>
      <w:tr w:rsidR="00640724" w:rsidRPr="00F60DE2" w14:paraId="2C3AD3D3" w14:textId="77777777" w:rsidTr="00E42420">
        <w:tc>
          <w:tcPr>
            <w:tcW w:w="3955" w:type="dxa"/>
          </w:tcPr>
          <w:p w14:paraId="7B89892C" w14:textId="41F327E2" w:rsidR="00640724" w:rsidRPr="00F60DE2" w:rsidRDefault="00640724" w:rsidP="00E42420">
            <w:pPr>
              <w:rPr>
                <w:rFonts w:cstheme="minorHAnsi"/>
                <w:b/>
              </w:rPr>
            </w:pPr>
            <w:r w:rsidRPr="00F60DE2">
              <w:rPr>
                <w:rFonts w:cstheme="minorHAnsi"/>
                <w:b/>
              </w:rPr>
              <w:t>Task</w:t>
            </w:r>
            <w:r>
              <w:rPr>
                <w:rFonts w:cstheme="minorHAnsi"/>
                <w:b/>
              </w:rPr>
              <w:t xml:space="preserve"> – Plan/Propose</w:t>
            </w:r>
          </w:p>
        </w:tc>
        <w:tc>
          <w:tcPr>
            <w:tcW w:w="810" w:type="dxa"/>
          </w:tcPr>
          <w:p w14:paraId="66605385" w14:textId="77777777" w:rsidR="00640724" w:rsidRPr="00F60DE2" w:rsidRDefault="00640724" w:rsidP="00E42420">
            <w:pPr>
              <w:jc w:val="center"/>
              <w:rPr>
                <w:rFonts w:cstheme="minorHAnsi"/>
                <w:b/>
              </w:rPr>
            </w:pPr>
            <w:r>
              <w:rPr>
                <w:rFonts w:cstheme="minorHAnsi"/>
                <w:b/>
              </w:rPr>
              <w:t>PI</w:t>
            </w:r>
          </w:p>
        </w:tc>
        <w:tc>
          <w:tcPr>
            <w:tcW w:w="900" w:type="dxa"/>
          </w:tcPr>
          <w:p w14:paraId="1870FCF2" w14:textId="71F7ABE3" w:rsidR="00640724" w:rsidRPr="00F60DE2" w:rsidRDefault="001C6E83" w:rsidP="00E42420">
            <w:pPr>
              <w:jc w:val="center"/>
              <w:rPr>
                <w:rFonts w:cstheme="minorHAnsi"/>
                <w:b/>
              </w:rPr>
            </w:pPr>
            <w:r>
              <w:rPr>
                <w:rFonts w:cstheme="minorHAnsi"/>
                <w:b/>
              </w:rPr>
              <w:t>School</w:t>
            </w:r>
          </w:p>
        </w:tc>
        <w:tc>
          <w:tcPr>
            <w:tcW w:w="630" w:type="dxa"/>
          </w:tcPr>
          <w:p w14:paraId="41A48B68" w14:textId="4750DFF1" w:rsidR="00640724" w:rsidRPr="00F60DE2" w:rsidRDefault="00640724" w:rsidP="00E42420">
            <w:pPr>
              <w:jc w:val="center"/>
              <w:rPr>
                <w:rFonts w:cstheme="minorHAnsi"/>
                <w:b/>
              </w:rPr>
            </w:pPr>
            <w:r>
              <w:rPr>
                <w:rFonts w:cstheme="minorHAnsi"/>
                <w:b/>
              </w:rPr>
              <w:t>O</w:t>
            </w:r>
            <w:r w:rsidR="00C207AD">
              <w:rPr>
                <w:rFonts w:cstheme="minorHAnsi"/>
                <w:b/>
              </w:rPr>
              <w:t>S</w:t>
            </w:r>
            <w:r>
              <w:rPr>
                <w:rFonts w:cstheme="minorHAnsi"/>
                <w:b/>
              </w:rPr>
              <w:t>R</w:t>
            </w:r>
          </w:p>
        </w:tc>
        <w:tc>
          <w:tcPr>
            <w:tcW w:w="630" w:type="dxa"/>
          </w:tcPr>
          <w:p w14:paraId="6084F729" w14:textId="77777777" w:rsidR="00640724" w:rsidRPr="00F60DE2" w:rsidRDefault="00640724" w:rsidP="00E42420">
            <w:pPr>
              <w:jc w:val="center"/>
              <w:rPr>
                <w:rFonts w:cstheme="minorHAnsi"/>
                <w:b/>
              </w:rPr>
            </w:pPr>
            <w:r>
              <w:rPr>
                <w:rFonts w:cstheme="minorHAnsi"/>
                <w:b/>
              </w:rPr>
              <w:t>OSP</w:t>
            </w:r>
          </w:p>
        </w:tc>
        <w:tc>
          <w:tcPr>
            <w:tcW w:w="900" w:type="dxa"/>
          </w:tcPr>
          <w:p w14:paraId="680ACCB0" w14:textId="77777777" w:rsidR="00640724" w:rsidRDefault="00640724" w:rsidP="00E42420">
            <w:pPr>
              <w:jc w:val="center"/>
              <w:rPr>
                <w:rFonts w:cstheme="minorHAnsi"/>
                <w:b/>
              </w:rPr>
            </w:pPr>
            <w:r>
              <w:rPr>
                <w:rFonts w:cstheme="minorHAnsi"/>
                <w:b/>
              </w:rPr>
              <w:t>FAS</w:t>
            </w:r>
          </w:p>
        </w:tc>
        <w:tc>
          <w:tcPr>
            <w:tcW w:w="900" w:type="dxa"/>
          </w:tcPr>
          <w:p w14:paraId="015B7241" w14:textId="77777777" w:rsidR="00640724" w:rsidRPr="00F60DE2" w:rsidRDefault="00640724" w:rsidP="00E42420">
            <w:pPr>
              <w:jc w:val="center"/>
              <w:rPr>
                <w:rFonts w:cstheme="minorHAnsi"/>
                <w:b/>
              </w:rPr>
            </w:pPr>
            <w:r>
              <w:rPr>
                <w:rFonts w:cstheme="minorHAnsi"/>
                <w:b/>
              </w:rPr>
              <w:t>GCA</w:t>
            </w:r>
          </w:p>
        </w:tc>
      </w:tr>
      <w:tr w:rsidR="00640724" w:rsidRPr="00F60DE2" w14:paraId="4973F9C1" w14:textId="77777777" w:rsidTr="00E42420">
        <w:tc>
          <w:tcPr>
            <w:tcW w:w="3955" w:type="dxa"/>
          </w:tcPr>
          <w:p w14:paraId="67DCFF92" w14:textId="77777777" w:rsidR="00640724" w:rsidRPr="00F60DE2" w:rsidRDefault="00640724" w:rsidP="00E42420">
            <w:pPr>
              <w:rPr>
                <w:rFonts w:cstheme="minorHAnsi"/>
              </w:rPr>
            </w:pPr>
            <w:r>
              <w:rPr>
                <w:rFonts w:cstheme="minorHAnsi"/>
              </w:rPr>
              <w:t>Proposal/sponsor forms</w:t>
            </w:r>
          </w:p>
        </w:tc>
        <w:tc>
          <w:tcPr>
            <w:tcW w:w="810" w:type="dxa"/>
          </w:tcPr>
          <w:p w14:paraId="2445790B" w14:textId="77777777" w:rsidR="00640724" w:rsidRPr="00F60DE2" w:rsidRDefault="00640724" w:rsidP="00E42420">
            <w:pPr>
              <w:jc w:val="center"/>
              <w:rPr>
                <w:rFonts w:cstheme="minorHAnsi"/>
              </w:rPr>
            </w:pPr>
            <w:r>
              <w:rPr>
                <w:rFonts w:cstheme="minorHAnsi"/>
              </w:rPr>
              <w:t>X</w:t>
            </w:r>
          </w:p>
        </w:tc>
        <w:tc>
          <w:tcPr>
            <w:tcW w:w="900" w:type="dxa"/>
          </w:tcPr>
          <w:p w14:paraId="1841537F" w14:textId="49CCF747" w:rsidR="00640724" w:rsidRPr="00F60DE2" w:rsidRDefault="00640724" w:rsidP="00E42420">
            <w:pPr>
              <w:jc w:val="center"/>
              <w:rPr>
                <w:rFonts w:cstheme="minorHAnsi"/>
              </w:rPr>
            </w:pPr>
          </w:p>
        </w:tc>
        <w:tc>
          <w:tcPr>
            <w:tcW w:w="630" w:type="dxa"/>
          </w:tcPr>
          <w:p w14:paraId="1D2CE0F7" w14:textId="77777777" w:rsidR="00640724" w:rsidRPr="00F60DE2" w:rsidRDefault="00640724" w:rsidP="00E42420">
            <w:pPr>
              <w:jc w:val="center"/>
              <w:rPr>
                <w:rFonts w:cstheme="minorHAnsi"/>
              </w:rPr>
            </w:pPr>
          </w:p>
        </w:tc>
        <w:tc>
          <w:tcPr>
            <w:tcW w:w="630" w:type="dxa"/>
          </w:tcPr>
          <w:p w14:paraId="5DBF358D" w14:textId="5737339C" w:rsidR="00640724" w:rsidRPr="00F60DE2" w:rsidRDefault="001C6E83" w:rsidP="00E42420">
            <w:pPr>
              <w:jc w:val="center"/>
              <w:rPr>
                <w:rFonts w:cstheme="minorHAnsi"/>
              </w:rPr>
            </w:pPr>
            <w:r>
              <w:rPr>
                <w:rFonts w:cstheme="minorHAnsi"/>
              </w:rPr>
              <w:t>X</w:t>
            </w:r>
          </w:p>
        </w:tc>
        <w:tc>
          <w:tcPr>
            <w:tcW w:w="900" w:type="dxa"/>
          </w:tcPr>
          <w:p w14:paraId="0B76498D" w14:textId="77777777" w:rsidR="00640724" w:rsidRPr="00F60DE2" w:rsidRDefault="00640724" w:rsidP="00E42420">
            <w:pPr>
              <w:jc w:val="center"/>
              <w:rPr>
                <w:rFonts w:cstheme="minorHAnsi"/>
              </w:rPr>
            </w:pPr>
          </w:p>
        </w:tc>
        <w:tc>
          <w:tcPr>
            <w:tcW w:w="900" w:type="dxa"/>
          </w:tcPr>
          <w:p w14:paraId="53F06C34" w14:textId="77777777" w:rsidR="00640724" w:rsidRPr="00F60DE2" w:rsidRDefault="00640724" w:rsidP="00E42420">
            <w:pPr>
              <w:jc w:val="center"/>
              <w:rPr>
                <w:rFonts w:cstheme="minorHAnsi"/>
              </w:rPr>
            </w:pPr>
          </w:p>
        </w:tc>
      </w:tr>
      <w:tr w:rsidR="00640724" w:rsidRPr="00F60DE2" w14:paraId="6AE069F5" w14:textId="77777777" w:rsidTr="00E42420">
        <w:tc>
          <w:tcPr>
            <w:tcW w:w="3955" w:type="dxa"/>
          </w:tcPr>
          <w:p w14:paraId="01414C6A" w14:textId="77777777" w:rsidR="00640724" w:rsidRPr="00F60DE2" w:rsidRDefault="00640724" w:rsidP="00E42420">
            <w:pPr>
              <w:rPr>
                <w:rFonts w:cstheme="minorHAnsi"/>
              </w:rPr>
            </w:pPr>
            <w:r>
              <w:rPr>
                <w:rFonts w:cstheme="minorHAnsi"/>
              </w:rPr>
              <w:t>eGC1 completion and routing</w:t>
            </w:r>
          </w:p>
        </w:tc>
        <w:tc>
          <w:tcPr>
            <w:tcW w:w="810" w:type="dxa"/>
          </w:tcPr>
          <w:p w14:paraId="411D362E" w14:textId="77777777" w:rsidR="00640724" w:rsidRPr="00F60DE2" w:rsidRDefault="00640724" w:rsidP="00E42420">
            <w:pPr>
              <w:jc w:val="center"/>
              <w:rPr>
                <w:rFonts w:cstheme="minorHAnsi"/>
              </w:rPr>
            </w:pPr>
            <w:r>
              <w:rPr>
                <w:rFonts w:cstheme="minorHAnsi"/>
              </w:rPr>
              <w:t>X</w:t>
            </w:r>
          </w:p>
        </w:tc>
        <w:tc>
          <w:tcPr>
            <w:tcW w:w="900" w:type="dxa"/>
          </w:tcPr>
          <w:p w14:paraId="18B45AFB" w14:textId="0B976366" w:rsidR="00640724" w:rsidRPr="00F60DE2" w:rsidRDefault="00640724" w:rsidP="00E42420">
            <w:pPr>
              <w:jc w:val="center"/>
              <w:rPr>
                <w:rFonts w:cstheme="minorHAnsi"/>
              </w:rPr>
            </w:pPr>
          </w:p>
        </w:tc>
        <w:tc>
          <w:tcPr>
            <w:tcW w:w="630" w:type="dxa"/>
          </w:tcPr>
          <w:p w14:paraId="5A130D13" w14:textId="236FE766" w:rsidR="00640724" w:rsidRPr="00F60DE2" w:rsidRDefault="001C6E83" w:rsidP="00E42420">
            <w:pPr>
              <w:jc w:val="center"/>
              <w:rPr>
                <w:rFonts w:cstheme="minorHAnsi"/>
              </w:rPr>
            </w:pPr>
            <w:r>
              <w:rPr>
                <w:rFonts w:cstheme="minorHAnsi"/>
              </w:rPr>
              <w:t>X</w:t>
            </w:r>
          </w:p>
        </w:tc>
        <w:tc>
          <w:tcPr>
            <w:tcW w:w="630" w:type="dxa"/>
          </w:tcPr>
          <w:p w14:paraId="27E96D18" w14:textId="77777777" w:rsidR="00640724" w:rsidRPr="00F60DE2" w:rsidRDefault="00640724" w:rsidP="00E42420">
            <w:pPr>
              <w:jc w:val="center"/>
              <w:rPr>
                <w:rFonts w:cstheme="minorHAnsi"/>
              </w:rPr>
            </w:pPr>
          </w:p>
        </w:tc>
        <w:tc>
          <w:tcPr>
            <w:tcW w:w="900" w:type="dxa"/>
          </w:tcPr>
          <w:p w14:paraId="410AE75E" w14:textId="77777777" w:rsidR="00640724" w:rsidRPr="00F60DE2" w:rsidRDefault="00640724" w:rsidP="00E42420">
            <w:pPr>
              <w:jc w:val="center"/>
              <w:rPr>
                <w:rFonts w:cstheme="minorHAnsi"/>
              </w:rPr>
            </w:pPr>
          </w:p>
        </w:tc>
        <w:tc>
          <w:tcPr>
            <w:tcW w:w="900" w:type="dxa"/>
          </w:tcPr>
          <w:p w14:paraId="5A5ADD16" w14:textId="77777777" w:rsidR="00640724" w:rsidRPr="00F60DE2" w:rsidRDefault="00640724" w:rsidP="00E42420">
            <w:pPr>
              <w:jc w:val="center"/>
              <w:rPr>
                <w:rFonts w:cstheme="minorHAnsi"/>
              </w:rPr>
            </w:pPr>
          </w:p>
        </w:tc>
      </w:tr>
      <w:tr w:rsidR="00640724" w:rsidRPr="00F60DE2" w14:paraId="213F97AE" w14:textId="77777777" w:rsidTr="00E42420">
        <w:tc>
          <w:tcPr>
            <w:tcW w:w="3955" w:type="dxa"/>
          </w:tcPr>
          <w:p w14:paraId="3E4DDB75" w14:textId="77777777" w:rsidR="00640724" w:rsidRDefault="00640724" w:rsidP="00E42420">
            <w:pPr>
              <w:rPr>
                <w:rFonts w:cstheme="minorHAnsi"/>
              </w:rPr>
            </w:pPr>
            <w:r>
              <w:rPr>
                <w:rFonts w:cstheme="minorHAnsi"/>
              </w:rPr>
              <w:t>Proposal review and submission</w:t>
            </w:r>
          </w:p>
        </w:tc>
        <w:tc>
          <w:tcPr>
            <w:tcW w:w="810" w:type="dxa"/>
          </w:tcPr>
          <w:p w14:paraId="4BE8F04B" w14:textId="77777777" w:rsidR="00640724" w:rsidRPr="00F60DE2" w:rsidRDefault="00640724" w:rsidP="00E42420">
            <w:pPr>
              <w:jc w:val="center"/>
              <w:rPr>
                <w:rFonts w:cstheme="minorHAnsi"/>
              </w:rPr>
            </w:pPr>
          </w:p>
        </w:tc>
        <w:tc>
          <w:tcPr>
            <w:tcW w:w="900" w:type="dxa"/>
          </w:tcPr>
          <w:p w14:paraId="42575074" w14:textId="77777777" w:rsidR="00640724" w:rsidRPr="00F60DE2" w:rsidRDefault="00640724" w:rsidP="00E42420">
            <w:pPr>
              <w:jc w:val="center"/>
              <w:rPr>
                <w:rFonts w:cstheme="minorHAnsi"/>
              </w:rPr>
            </w:pPr>
          </w:p>
        </w:tc>
        <w:tc>
          <w:tcPr>
            <w:tcW w:w="630" w:type="dxa"/>
          </w:tcPr>
          <w:p w14:paraId="2AB63880" w14:textId="77777777" w:rsidR="00640724" w:rsidRPr="00F60DE2" w:rsidRDefault="00640724" w:rsidP="00E42420">
            <w:pPr>
              <w:jc w:val="center"/>
              <w:rPr>
                <w:rFonts w:cstheme="minorHAnsi"/>
              </w:rPr>
            </w:pPr>
          </w:p>
        </w:tc>
        <w:tc>
          <w:tcPr>
            <w:tcW w:w="630" w:type="dxa"/>
          </w:tcPr>
          <w:p w14:paraId="2BA24F7B" w14:textId="77777777" w:rsidR="00640724" w:rsidRDefault="00640724" w:rsidP="00E42420">
            <w:pPr>
              <w:jc w:val="center"/>
              <w:rPr>
                <w:rFonts w:cstheme="minorHAnsi"/>
              </w:rPr>
            </w:pPr>
            <w:r>
              <w:rPr>
                <w:rFonts w:cstheme="minorHAnsi"/>
              </w:rPr>
              <w:t>X</w:t>
            </w:r>
          </w:p>
        </w:tc>
        <w:tc>
          <w:tcPr>
            <w:tcW w:w="900" w:type="dxa"/>
          </w:tcPr>
          <w:p w14:paraId="0CCFF861" w14:textId="77777777" w:rsidR="00640724" w:rsidRPr="00F60DE2" w:rsidRDefault="00640724" w:rsidP="00E42420">
            <w:pPr>
              <w:jc w:val="center"/>
              <w:rPr>
                <w:rFonts w:cstheme="minorHAnsi"/>
              </w:rPr>
            </w:pPr>
          </w:p>
        </w:tc>
        <w:tc>
          <w:tcPr>
            <w:tcW w:w="900" w:type="dxa"/>
          </w:tcPr>
          <w:p w14:paraId="21785AC9" w14:textId="77777777" w:rsidR="00640724" w:rsidRPr="00F60DE2" w:rsidRDefault="00640724" w:rsidP="00E42420">
            <w:pPr>
              <w:jc w:val="center"/>
              <w:rPr>
                <w:rFonts w:cstheme="minorHAnsi"/>
              </w:rPr>
            </w:pPr>
          </w:p>
        </w:tc>
      </w:tr>
    </w:tbl>
    <w:p w14:paraId="41068578" w14:textId="000C00FC" w:rsidR="00640724" w:rsidRDefault="00640724" w:rsidP="00086BD7">
      <w:pPr>
        <w:rPr>
          <w:rFonts w:cstheme="minorHAnsi"/>
        </w:rPr>
      </w:pPr>
    </w:p>
    <w:tbl>
      <w:tblPr>
        <w:tblStyle w:val="TableGrid"/>
        <w:tblW w:w="8725" w:type="dxa"/>
        <w:tblLayout w:type="fixed"/>
        <w:tblLook w:val="04A0" w:firstRow="1" w:lastRow="0" w:firstColumn="1" w:lastColumn="0" w:noHBand="0" w:noVBand="1"/>
      </w:tblPr>
      <w:tblGrid>
        <w:gridCol w:w="3955"/>
        <w:gridCol w:w="810"/>
        <w:gridCol w:w="900"/>
        <w:gridCol w:w="630"/>
        <w:gridCol w:w="630"/>
        <w:gridCol w:w="900"/>
        <w:gridCol w:w="900"/>
      </w:tblGrid>
      <w:tr w:rsidR="00640724" w:rsidRPr="00F60DE2" w14:paraId="3912DE98" w14:textId="77777777" w:rsidTr="00E42420">
        <w:tc>
          <w:tcPr>
            <w:tcW w:w="3955" w:type="dxa"/>
          </w:tcPr>
          <w:p w14:paraId="6FE0CD43" w14:textId="061AA14A" w:rsidR="00640724" w:rsidRPr="00F60DE2" w:rsidRDefault="00640724" w:rsidP="00E42420">
            <w:pPr>
              <w:rPr>
                <w:rFonts w:cstheme="minorHAnsi"/>
                <w:b/>
              </w:rPr>
            </w:pPr>
            <w:r w:rsidRPr="00F60DE2">
              <w:rPr>
                <w:rFonts w:cstheme="minorHAnsi"/>
                <w:b/>
              </w:rPr>
              <w:t>Task</w:t>
            </w:r>
            <w:r>
              <w:rPr>
                <w:rFonts w:cstheme="minorHAnsi"/>
                <w:b/>
              </w:rPr>
              <w:t xml:space="preserve"> – Setup</w:t>
            </w:r>
          </w:p>
        </w:tc>
        <w:tc>
          <w:tcPr>
            <w:tcW w:w="810" w:type="dxa"/>
          </w:tcPr>
          <w:p w14:paraId="1E2F69C5" w14:textId="77777777" w:rsidR="00640724" w:rsidRPr="00F60DE2" w:rsidRDefault="00640724" w:rsidP="00E42420">
            <w:pPr>
              <w:jc w:val="center"/>
              <w:rPr>
                <w:rFonts w:cstheme="minorHAnsi"/>
                <w:b/>
              </w:rPr>
            </w:pPr>
            <w:r>
              <w:rPr>
                <w:rFonts w:cstheme="minorHAnsi"/>
                <w:b/>
              </w:rPr>
              <w:t>PI</w:t>
            </w:r>
          </w:p>
        </w:tc>
        <w:tc>
          <w:tcPr>
            <w:tcW w:w="900" w:type="dxa"/>
          </w:tcPr>
          <w:p w14:paraId="1BF969BC" w14:textId="0B0D8C36" w:rsidR="00640724" w:rsidRPr="00F60DE2" w:rsidRDefault="001C6E83" w:rsidP="00E42420">
            <w:pPr>
              <w:jc w:val="center"/>
              <w:rPr>
                <w:rFonts w:cstheme="minorHAnsi"/>
                <w:b/>
              </w:rPr>
            </w:pPr>
            <w:r>
              <w:rPr>
                <w:rFonts w:cstheme="minorHAnsi"/>
                <w:b/>
              </w:rPr>
              <w:t>School</w:t>
            </w:r>
          </w:p>
        </w:tc>
        <w:tc>
          <w:tcPr>
            <w:tcW w:w="630" w:type="dxa"/>
          </w:tcPr>
          <w:p w14:paraId="4A5A097E" w14:textId="04AC0E8D" w:rsidR="00640724" w:rsidRPr="00F60DE2" w:rsidRDefault="00640724" w:rsidP="00E42420">
            <w:pPr>
              <w:jc w:val="center"/>
              <w:rPr>
                <w:rFonts w:cstheme="minorHAnsi"/>
                <w:b/>
              </w:rPr>
            </w:pPr>
            <w:r>
              <w:rPr>
                <w:rFonts w:cstheme="minorHAnsi"/>
                <w:b/>
              </w:rPr>
              <w:t>O</w:t>
            </w:r>
            <w:r w:rsidR="00C207AD">
              <w:rPr>
                <w:rFonts w:cstheme="minorHAnsi"/>
                <w:b/>
              </w:rPr>
              <w:t>S</w:t>
            </w:r>
            <w:r>
              <w:rPr>
                <w:rFonts w:cstheme="minorHAnsi"/>
                <w:b/>
              </w:rPr>
              <w:t>R</w:t>
            </w:r>
          </w:p>
        </w:tc>
        <w:tc>
          <w:tcPr>
            <w:tcW w:w="630" w:type="dxa"/>
          </w:tcPr>
          <w:p w14:paraId="7B2B0973" w14:textId="77777777" w:rsidR="00640724" w:rsidRPr="00F60DE2" w:rsidRDefault="00640724" w:rsidP="00E42420">
            <w:pPr>
              <w:jc w:val="center"/>
              <w:rPr>
                <w:rFonts w:cstheme="minorHAnsi"/>
                <w:b/>
              </w:rPr>
            </w:pPr>
            <w:r>
              <w:rPr>
                <w:rFonts w:cstheme="minorHAnsi"/>
                <w:b/>
              </w:rPr>
              <w:t>OSP</w:t>
            </w:r>
          </w:p>
        </w:tc>
        <w:tc>
          <w:tcPr>
            <w:tcW w:w="900" w:type="dxa"/>
          </w:tcPr>
          <w:p w14:paraId="3D168972" w14:textId="77777777" w:rsidR="00640724" w:rsidRDefault="00640724" w:rsidP="00E42420">
            <w:pPr>
              <w:jc w:val="center"/>
              <w:rPr>
                <w:rFonts w:cstheme="minorHAnsi"/>
                <w:b/>
              </w:rPr>
            </w:pPr>
            <w:r>
              <w:rPr>
                <w:rFonts w:cstheme="minorHAnsi"/>
                <w:b/>
              </w:rPr>
              <w:t>FAS</w:t>
            </w:r>
          </w:p>
        </w:tc>
        <w:tc>
          <w:tcPr>
            <w:tcW w:w="900" w:type="dxa"/>
          </w:tcPr>
          <w:p w14:paraId="24A3C03E" w14:textId="77777777" w:rsidR="00640724" w:rsidRPr="00F60DE2" w:rsidRDefault="00640724" w:rsidP="00E42420">
            <w:pPr>
              <w:jc w:val="center"/>
              <w:rPr>
                <w:rFonts w:cstheme="minorHAnsi"/>
                <w:b/>
              </w:rPr>
            </w:pPr>
            <w:r>
              <w:rPr>
                <w:rFonts w:cstheme="minorHAnsi"/>
                <w:b/>
              </w:rPr>
              <w:t>GCA</w:t>
            </w:r>
          </w:p>
        </w:tc>
      </w:tr>
      <w:tr w:rsidR="00640724" w:rsidRPr="00F60DE2" w14:paraId="16FEBC7C" w14:textId="77777777" w:rsidTr="00E42420">
        <w:tc>
          <w:tcPr>
            <w:tcW w:w="3955" w:type="dxa"/>
          </w:tcPr>
          <w:p w14:paraId="23F23F6B" w14:textId="77777777" w:rsidR="00640724" w:rsidRDefault="00640724" w:rsidP="00E42420">
            <w:pPr>
              <w:rPr>
                <w:rFonts w:cstheme="minorHAnsi"/>
              </w:rPr>
            </w:pPr>
            <w:r>
              <w:rPr>
                <w:rFonts w:cstheme="minorHAnsi"/>
              </w:rPr>
              <w:t>JIT information gathering</w:t>
            </w:r>
          </w:p>
        </w:tc>
        <w:tc>
          <w:tcPr>
            <w:tcW w:w="810" w:type="dxa"/>
          </w:tcPr>
          <w:p w14:paraId="1F77A951" w14:textId="77777777" w:rsidR="00640724" w:rsidRPr="00F60DE2" w:rsidRDefault="00640724" w:rsidP="00E42420">
            <w:pPr>
              <w:jc w:val="center"/>
              <w:rPr>
                <w:rFonts w:cstheme="minorHAnsi"/>
              </w:rPr>
            </w:pPr>
            <w:r>
              <w:rPr>
                <w:rFonts w:cstheme="minorHAnsi"/>
              </w:rPr>
              <w:t>X</w:t>
            </w:r>
          </w:p>
        </w:tc>
        <w:tc>
          <w:tcPr>
            <w:tcW w:w="900" w:type="dxa"/>
          </w:tcPr>
          <w:p w14:paraId="4CA739CE" w14:textId="7BC3D92F" w:rsidR="00640724" w:rsidRPr="00F60DE2" w:rsidRDefault="00640724" w:rsidP="00E42420">
            <w:pPr>
              <w:jc w:val="center"/>
              <w:rPr>
                <w:rFonts w:cstheme="minorHAnsi"/>
              </w:rPr>
            </w:pPr>
          </w:p>
        </w:tc>
        <w:tc>
          <w:tcPr>
            <w:tcW w:w="630" w:type="dxa"/>
          </w:tcPr>
          <w:p w14:paraId="46616236" w14:textId="77777777" w:rsidR="00640724" w:rsidRPr="00F60DE2" w:rsidRDefault="00640724" w:rsidP="00E42420">
            <w:pPr>
              <w:jc w:val="center"/>
              <w:rPr>
                <w:rFonts w:cstheme="minorHAnsi"/>
              </w:rPr>
            </w:pPr>
          </w:p>
        </w:tc>
        <w:tc>
          <w:tcPr>
            <w:tcW w:w="630" w:type="dxa"/>
          </w:tcPr>
          <w:p w14:paraId="21018B4F" w14:textId="77777777" w:rsidR="00640724" w:rsidRDefault="00640724" w:rsidP="00E42420">
            <w:pPr>
              <w:jc w:val="center"/>
              <w:rPr>
                <w:rFonts w:cstheme="minorHAnsi"/>
              </w:rPr>
            </w:pPr>
          </w:p>
        </w:tc>
        <w:tc>
          <w:tcPr>
            <w:tcW w:w="900" w:type="dxa"/>
          </w:tcPr>
          <w:p w14:paraId="534A196F" w14:textId="77777777" w:rsidR="00640724" w:rsidRPr="00F60DE2" w:rsidRDefault="00640724" w:rsidP="00E42420">
            <w:pPr>
              <w:jc w:val="center"/>
              <w:rPr>
                <w:rFonts w:cstheme="minorHAnsi"/>
              </w:rPr>
            </w:pPr>
          </w:p>
        </w:tc>
        <w:tc>
          <w:tcPr>
            <w:tcW w:w="900" w:type="dxa"/>
          </w:tcPr>
          <w:p w14:paraId="5CBE98F4" w14:textId="77777777" w:rsidR="00640724" w:rsidRPr="00F60DE2" w:rsidRDefault="00640724" w:rsidP="00E42420">
            <w:pPr>
              <w:jc w:val="center"/>
              <w:rPr>
                <w:rFonts w:cstheme="minorHAnsi"/>
              </w:rPr>
            </w:pPr>
          </w:p>
        </w:tc>
      </w:tr>
      <w:tr w:rsidR="00640724" w:rsidRPr="00F60DE2" w14:paraId="2B98EEDE" w14:textId="77777777" w:rsidTr="00E42420">
        <w:tc>
          <w:tcPr>
            <w:tcW w:w="3955" w:type="dxa"/>
          </w:tcPr>
          <w:p w14:paraId="45918D7B" w14:textId="77777777" w:rsidR="00640724" w:rsidRDefault="00640724" w:rsidP="00E42420">
            <w:pPr>
              <w:rPr>
                <w:rFonts w:cstheme="minorHAnsi"/>
              </w:rPr>
            </w:pPr>
            <w:r>
              <w:rPr>
                <w:rFonts w:cstheme="minorHAnsi"/>
              </w:rPr>
              <w:t>JIT submission</w:t>
            </w:r>
          </w:p>
        </w:tc>
        <w:tc>
          <w:tcPr>
            <w:tcW w:w="810" w:type="dxa"/>
          </w:tcPr>
          <w:p w14:paraId="7BED7681" w14:textId="77777777" w:rsidR="00640724" w:rsidRPr="00F60DE2" w:rsidRDefault="00640724" w:rsidP="00E42420">
            <w:pPr>
              <w:jc w:val="center"/>
              <w:rPr>
                <w:rFonts w:cstheme="minorHAnsi"/>
              </w:rPr>
            </w:pPr>
          </w:p>
        </w:tc>
        <w:tc>
          <w:tcPr>
            <w:tcW w:w="900" w:type="dxa"/>
          </w:tcPr>
          <w:p w14:paraId="5FE8365C" w14:textId="77777777" w:rsidR="00640724" w:rsidRPr="00F60DE2" w:rsidRDefault="00640724" w:rsidP="00E42420">
            <w:pPr>
              <w:jc w:val="center"/>
              <w:rPr>
                <w:rFonts w:cstheme="minorHAnsi"/>
              </w:rPr>
            </w:pPr>
          </w:p>
        </w:tc>
        <w:tc>
          <w:tcPr>
            <w:tcW w:w="630" w:type="dxa"/>
          </w:tcPr>
          <w:p w14:paraId="6A7A5F3B" w14:textId="77777777" w:rsidR="00640724" w:rsidRPr="00F60DE2" w:rsidRDefault="00640724" w:rsidP="00E42420">
            <w:pPr>
              <w:jc w:val="center"/>
              <w:rPr>
                <w:rFonts w:cstheme="minorHAnsi"/>
              </w:rPr>
            </w:pPr>
          </w:p>
        </w:tc>
        <w:tc>
          <w:tcPr>
            <w:tcW w:w="630" w:type="dxa"/>
          </w:tcPr>
          <w:p w14:paraId="73A44547" w14:textId="77777777" w:rsidR="00640724" w:rsidRDefault="00640724" w:rsidP="00E42420">
            <w:pPr>
              <w:jc w:val="center"/>
              <w:rPr>
                <w:rFonts w:cstheme="minorHAnsi"/>
              </w:rPr>
            </w:pPr>
            <w:r>
              <w:rPr>
                <w:rFonts w:cstheme="minorHAnsi"/>
              </w:rPr>
              <w:t>X</w:t>
            </w:r>
          </w:p>
        </w:tc>
        <w:tc>
          <w:tcPr>
            <w:tcW w:w="900" w:type="dxa"/>
          </w:tcPr>
          <w:p w14:paraId="0002B5C0" w14:textId="77777777" w:rsidR="00640724" w:rsidRPr="00F60DE2" w:rsidRDefault="00640724" w:rsidP="00E42420">
            <w:pPr>
              <w:jc w:val="center"/>
              <w:rPr>
                <w:rFonts w:cstheme="minorHAnsi"/>
              </w:rPr>
            </w:pPr>
          </w:p>
        </w:tc>
        <w:tc>
          <w:tcPr>
            <w:tcW w:w="900" w:type="dxa"/>
          </w:tcPr>
          <w:p w14:paraId="03032B18" w14:textId="77777777" w:rsidR="00640724" w:rsidRPr="00F60DE2" w:rsidRDefault="00640724" w:rsidP="00E42420">
            <w:pPr>
              <w:jc w:val="center"/>
              <w:rPr>
                <w:rFonts w:cstheme="minorHAnsi"/>
              </w:rPr>
            </w:pPr>
          </w:p>
        </w:tc>
      </w:tr>
      <w:tr w:rsidR="00640724" w:rsidRPr="00F60DE2" w14:paraId="7880C849" w14:textId="77777777" w:rsidTr="00E42420">
        <w:tc>
          <w:tcPr>
            <w:tcW w:w="3955" w:type="dxa"/>
          </w:tcPr>
          <w:p w14:paraId="25109656" w14:textId="77777777" w:rsidR="00640724" w:rsidRPr="00F60DE2" w:rsidRDefault="00640724" w:rsidP="00E42420">
            <w:pPr>
              <w:rPr>
                <w:rFonts w:cstheme="minorHAnsi"/>
              </w:rPr>
            </w:pPr>
            <w:r>
              <w:rPr>
                <w:rFonts w:cstheme="minorHAnsi"/>
              </w:rPr>
              <w:t>Award negotiation and acceptance</w:t>
            </w:r>
          </w:p>
        </w:tc>
        <w:tc>
          <w:tcPr>
            <w:tcW w:w="810" w:type="dxa"/>
          </w:tcPr>
          <w:p w14:paraId="086430E5" w14:textId="77777777" w:rsidR="00640724" w:rsidRPr="00F60DE2" w:rsidRDefault="00640724" w:rsidP="00E42420">
            <w:pPr>
              <w:jc w:val="center"/>
              <w:rPr>
                <w:rFonts w:cstheme="minorHAnsi"/>
              </w:rPr>
            </w:pPr>
          </w:p>
        </w:tc>
        <w:tc>
          <w:tcPr>
            <w:tcW w:w="900" w:type="dxa"/>
          </w:tcPr>
          <w:p w14:paraId="06B477E5" w14:textId="77777777" w:rsidR="00640724" w:rsidRPr="00F60DE2" w:rsidRDefault="00640724" w:rsidP="00E42420">
            <w:pPr>
              <w:jc w:val="center"/>
              <w:rPr>
                <w:rFonts w:cstheme="minorHAnsi"/>
              </w:rPr>
            </w:pPr>
          </w:p>
        </w:tc>
        <w:tc>
          <w:tcPr>
            <w:tcW w:w="630" w:type="dxa"/>
          </w:tcPr>
          <w:p w14:paraId="5468303B" w14:textId="77777777" w:rsidR="00640724" w:rsidRPr="00F60DE2" w:rsidRDefault="00640724" w:rsidP="00E42420">
            <w:pPr>
              <w:jc w:val="center"/>
              <w:rPr>
                <w:rFonts w:cstheme="minorHAnsi"/>
              </w:rPr>
            </w:pPr>
          </w:p>
        </w:tc>
        <w:tc>
          <w:tcPr>
            <w:tcW w:w="630" w:type="dxa"/>
          </w:tcPr>
          <w:p w14:paraId="3C0F2F6F" w14:textId="77777777" w:rsidR="00640724" w:rsidRPr="00F60DE2" w:rsidRDefault="00640724" w:rsidP="00E42420">
            <w:pPr>
              <w:jc w:val="center"/>
              <w:rPr>
                <w:rFonts w:cstheme="minorHAnsi"/>
              </w:rPr>
            </w:pPr>
            <w:r>
              <w:rPr>
                <w:rFonts w:cstheme="minorHAnsi"/>
              </w:rPr>
              <w:t>X</w:t>
            </w:r>
          </w:p>
        </w:tc>
        <w:tc>
          <w:tcPr>
            <w:tcW w:w="900" w:type="dxa"/>
          </w:tcPr>
          <w:p w14:paraId="2D9B93A9" w14:textId="77777777" w:rsidR="00640724" w:rsidRPr="00F60DE2" w:rsidRDefault="00640724" w:rsidP="00E42420">
            <w:pPr>
              <w:jc w:val="center"/>
              <w:rPr>
                <w:rFonts w:cstheme="minorHAnsi"/>
              </w:rPr>
            </w:pPr>
          </w:p>
        </w:tc>
        <w:tc>
          <w:tcPr>
            <w:tcW w:w="900" w:type="dxa"/>
          </w:tcPr>
          <w:p w14:paraId="447C882C" w14:textId="7A1C4EA4" w:rsidR="00640724" w:rsidRPr="00F60DE2" w:rsidRDefault="00640724" w:rsidP="00E42420">
            <w:pPr>
              <w:jc w:val="center"/>
              <w:rPr>
                <w:rFonts w:cstheme="minorHAnsi"/>
              </w:rPr>
            </w:pPr>
          </w:p>
        </w:tc>
      </w:tr>
    </w:tbl>
    <w:p w14:paraId="678E7945" w14:textId="4703A438" w:rsidR="00640724" w:rsidRDefault="00640724" w:rsidP="00086BD7">
      <w:pPr>
        <w:rPr>
          <w:rFonts w:cstheme="minorHAnsi"/>
        </w:rPr>
      </w:pPr>
    </w:p>
    <w:p w14:paraId="71BFD148" w14:textId="66CCA84C" w:rsidR="00DA65CD" w:rsidRDefault="00DA65CD" w:rsidP="00086BD7">
      <w:pPr>
        <w:rPr>
          <w:rFonts w:cstheme="minorHAnsi"/>
        </w:rPr>
      </w:pPr>
    </w:p>
    <w:p w14:paraId="5461503D" w14:textId="77777777" w:rsidR="00DA65CD" w:rsidRDefault="00DA65CD" w:rsidP="00086BD7">
      <w:pPr>
        <w:rPr>
          <w:rFonts w:cstheme="minorHAnsi"/>
        </w:rPr>
      </w:pPr>
    </w:p>
    <w:tbl>
      <w:tblPr>
        <w:tblStyle w:val="TableGrid"/>
        <w:tblW w:w="8725" w:type="dxa"/>
        <w:tblLayout w:type="fixed"/>
        <w:tblLook w:val="04A0" w:firstRow="1" w:lastRow="0" w:firstColumn="1" w:lastColumn="0" w:noHBand="0" w:noVBand="1"/>
      </w:tblPr>
      <w:tblGrid>
        <w:gridCol w:w="3955"/>
        <w:gridCol w:w="810"/>
        <w:gridCol w:w="900"/>
        <w:gridCol w:w="630"/>
        <w:gridCol w:w="630"/>
        <w:gridCol w:w="900"/>
        <w:gridCol w:w="900"/>
      </w:tblGrid>
      <w:tr w:rsidR="00640724" w:rsidRPr="00F60DE2" w14:paraId="532B0F41" w14:textId="77777777" w:rsidTr="00640724">
        <w:tc>
          <w:tcPr>
            <w:tcW w:w="3955" w:type="dxa"/>
          </w:tcPr>
          <w:p w14:paraId="7567138A" w14:textId="72859F46" w:rsidR="00640724" w:rsidRPr="00F60DE2" w:rsidRDefault="00640724" w:rsidP="00E42420">
            <w:pPr>
              <w:rPr>
                <w:rFonts w:cstheme="minorHAnsi"/>
                <w:b/>
              </w:rPr>
            </w:pPr>
            <w:r w:rsidRPr="00F60DE2">
              <w:rPr>
                <w:rFonts w:cstheme="minorHAnsi"/>
                <w:b/>
              </w:rPr>
              <w:t>Task</w:t>
            </w:r>
            <w:r>
              <w:rPr>
                <w:rFonts w:cstheme="minorHAnsi"/>
                <w:b/>
              </w:rPr>
              <w:t xml:space="preserve"> – Manage</w:t>
            </w:r>
          </w:p>
        </w:tc>
        <w:tc>
          <w:tcPr>
            <w:tcW w:w="810" w:type="dxa"/>
          </w:tcPr>
          <w:p w14:paraId="0E658827" w14:textId="77777777" w:rsidR="00640724" w:rsidRPr="00F60DE2" w:rsidRDefault="00640724" w:rsidP="00E42420">
            <w:pPr>
              <w:jc w:val="center"/>
              <w:rPr>
                <w:rFonts w:cstheme="minorHAnsi"/>
                <w:b/>
              </w:rPr>
            </w:pPr>
            <w:r>
              <w:rPr>
                <w:rFonts w:cstheme="minorHAnsi"/>
                <w:b/>
              </w:rPr>
              <w:t>PI</w:t>
            </w:r>
          </w:p>
        </w:tc>
        <w:tc>
          <w:tcPr>
            <w:tcW w:w="900" w:type="dxa"/>
          </w:tcPr>
          <w:p w14:paraId="6824ECC0" w14:textId="6D968716" w:rsidR="00640724" w:rsidRPr="00F60DE2" w:rsidRDefault="001C6E83" w:rsidP="00E42420">
            <w:pPr>
              <w:jc w:val="center"/>
              <w:rPr>
                <w:rFonts w:cstheme="minorHAnsi"/>
                <w:b/>
              </w:rPr>
            </w:pPr>
            <w:r>
              <w:rPr>
                <w:rFonts w:cstheme="minorHAnsi"/>
                <w:b/>
              </w:rPr>
              <w:t>School</w:t>
            </w:r>
          </w:p>
        </w:tc>
        <w:tc>
          <w:tcPr>
            <w:tcW w:w="630" w:type="dxa"/>
          </w:tcPr>
          <w:p w14:paraId="6B9B5E82" w14:textId="57B6DD36" w:rsidR="00640724" w:rsidRPr="00F60DE2" w:rsidRDefault="00640724" w:rsidP="00E42420">
            <w:pPr>
              <w:jc w:val="center"/>
              <w:rPr>
                <w:rFonts w:cstheme="minorHAnsi"/>
                <w:b/>
              </w:rPr>
            </w:pPr>
            <w:r>
              <w:rPr>
                <w:rFonts w:cstheme="minorHAnsi"/>
                <w:b/>
              </w:rPr>
              <w:t>O</w:t>
            </w:r>
            <w:r w:rsidR="00C207AD">
              <w:rPr>
                <w:rFonts w:cstheme="minorHAnsi"/>
                <w:b/>
              </w:rPr>
              <w:t>S</w:t>
            </w:r>
            <w:r>
              <w:rPr>
                <w:rFonts w:cstheme="minorHAnsi"/>
                <w:b/>
              </w:rPr>
              <w:t>R</w:t>
            </w:r>
          </w:p>
        </w:tc>
        <w:tc>
          <w:tcPr>
            <w:tcW w:w="630" w:type="dxa"/>
          </w:tcPr>
          <w:p w14:paraId="42859C7C" w14:textId="77777777" w:rsidR="00640724" w:rsidRPr="00F60DE2" w:rsidRDefault="00640724" w:rsidP="00E42420">
            <w:pPr>
              <w:jc w:val="center"/>
              <w:rPr>
                <w:rFonts w:cstheme="minorHAnsi"/>
                <w:b/>
              </w:rPr>
            </w:pPr>
            <w:r>
              <w:rPr>
                <w:rFonts w:cstheme="minorHAnsi"/>
                <w:b/>
              </w:rPr>
              <w:t>OSP</w:t>
            </w:r>
          </w:p>
        </w:tc>
        <w:tc>
          <w:tcPr>
            <w:tcW w:w="900" w:type="dxa"/>
          </w:tcPr>
          <w:p w14:paraId="1AD1133F" w14:textId="77777777" w:rsidR="00640724" w:rsidRDefault="00640724" w:rsidP="00E42420">
            <w:pPr>
              <w:jc w:val="center"/>
              <w:rPr>
                <w:rFonts w:cstheme="minorHAnsi"/>
                <w:b/>
              </w:rPr>
            </w:pPr>
            <w:r>
              <w:rPr>
                <w:rFonts w:cstheme="minorHAnsi"/>
                <w:b/>
              </w:rPr>
              <w:t>FAS</w:t>
            </w:r>
          </w:p>
        </w:tc>
        <w:tc>
          <w:tcPr>
            <w:tcW w:w="900" w:type="dxa"/>
          </w:tcPr>
          <w:p w14:paraId="61DC1554" w14:textId="77777777" w:rsidR="00640724" w:rsidRPr="00F60DE2" w:rsidRDefault="00640724" w:rsidP="00E42420">
            <w:pPr>
              <w:jc w:val="center"/>
              <w:rPr>
                <w:rFonts w:cstheme="minorHAnsi"/>
                <w:b/>
              </w:rPr>
            </w:pPr>
            <w:r>
              <w:rPr>
                <w:rFonts w:cstheme="minorHAnsi"/>
                <w:b/>
              </w:rPr>
              <w:t>GCA</w:t>
            </w:r>
          </w:p>
        </w:tc>
      </w:tr>
      <w:tr w:rsidR="00EE4770" w:rsidRPr="00F60DE2" w14:paraId="39C89B2B" w14:textId="77777777" w:rsidTr="00EE4770">
        <w:tc>
          <w:tcPr>
            <w:tcW w:w="3955" w:type="dxa"/>
          </w:tcPr>
          <w:p w14:paraId="2A5F2CF9" w14:textId="1B429922" w:rsidR="00EE4770" w:rsidRPr="00F60DE2" w:rsidRDefault="00EE4770" w:rsidP="00407873">
            <w:pPr>
              <w:rPr>
                <w:rFonts w:cstheme="minorHAnsi"/>
              </w:rPr>
            </w:pPr>
            <w:r>
              <w:rPr>
                <w:rFonts w:cstheme="minorHAnsi"/>
              </w:rPr>
              <w:t>Award set-up</w:t>
            </w:r>
          </w:p>
        </w:tc>
        <w:tc>
          <w:tcPr>
            <w:tcW w:w="810" w:type="dxa"/>
          </w:tcPr>
          <w:p w14:paraId="204D0B2D" w14:textId="77777777" w:rsidR="00EE4770" w:rsidRPr="00F60DE2" w:rsidRDefault="00EE4770" w:rsidP="00407873">
            <w:pPr>
              <w:jc w:val="center"/>
              <w:rPr>
                <w:rFonts w:cstheme="minorHAnsi"/>
              </w:rPr>
            </w:pPr>
          </w:p>
        </w:tc>
        <w:tc>
          <w:tcPr>
            <w:tcW w:w="900" w:type="dxa"/>
          </w:tcPr>
          <w:p w14:paraId="46B27219" w14:textId="77777777" w:rsidR="00EE4770" w:rsidRPr="00F60DE2" w:rsidRDefault="00EE4770" w:rsidP="00407873">
            <w:pPr>
              <w:jc w:val="center"/>
              <w:rPr>
                <w:rFonts w:cstheme="minorHAnsi"/>
              </w:rPr>
            </w:pPr>
          </w:p>
        </w:tc>
        <w:tc>
          <w:tcPr>
            <w:tcW w:w="630" w:type="dxa"/>
          </w:tcPr>
          <w:p w14:paraId="46CFFE20" w14:textId="77777777" w:rsidR="00EE4770" w:rsidRPr="00F60DE2" w:rsidRDefault="00EE4770" w:rsidP="00407873">
            <w:pPr>
              <w:jc w:val="center"/>
              <w:rPr>
                <w:rFonts w:cstheme="minorHAnsi"/>
              </w:rPr>
            </w:pPr>
          </w:p>
        </w:tc>
        <w:tc>
          <w:tcPr>
            <w:tcW w:w="630" w:type="dxa"/>
          </w:tcPr>
          <w:p w14:paraId="1D89D14F" w14:textId="6F0B9E08" w:rsidR="00EE4770" w:rsidRPr="00F60DE2" w:rsidRDefault="00EE4770" w:rsidP="00407873">
            <w:pPr>
              <w:jc w:val="center"/>
              <w:rPr>
                <w:rFonts w:cstheme="minorHAnsi"/>
              </w:rPr>
            </w:pPr>
            <w:r>
              <w:rPr>
                <w:rFonts w:cstheme="minorHAnsi"/>
              </w:rPr>
              <w:t>X</w:t>
            </w:r>
          </w:p>
        </w:tc>
        <w:tc>
          <w:tcPr>
            <w:tcW w:w="900" w:type="dxa"/>
          </w:tcPr>
          <w:p w14:paraId="69702E2F" w14:textId="77777777" w:rsidR="00EE4770" w:rsidRPr="00F60DE2" w:rsidRDefault="00EE4770" w:rsidP="00407873">
            <w:pPr>
              <w:jc w:val="center"/>
              <w:rPr>
                <w:rFonts w:cstheme="minorHAnsi"/>
              </w:rPr>
            </w:pPr>
          </w:p>
        </w:tc>
        <w:tc>
          <w:tcPr>
            <w:tcW w:w="900" w:type="dxa"/>
          </w:tcPr>
          <w:p w14:paraId="3454F1AF" w14:textId="62300718" w:rsidR="00EE4770" w:rsidRPr="00F60DE2" w:rsidRDefault="003B5533" w:rsidP="00407873">
            <w:pPr>
              <w:jc w:val="center"/>
              <w:rPr>
                <w:rFonts w:cstheme="minorHAnsi"/>
              </w:rPr>
            </w:pPr>
            <w:r>
              <w:rPr>
                <w:rFonts w:cstheme="minorHAnsi"/>
              </w:rPr>
              <w:t>X</w:t>
            </w:r>
          </w:p>
        </w:tc>
      </w:tr>
      <w:tr w:rsidR="00EE4770" w:rsidRPr="00F60DE2" w14:paraId="7D97D5CF" w14:textId="77777777" w:rsidTr="00EE4770">
        <w:tc>
          <w:tcPr>
            <w:tcW w:w="3955" w:type="dxa"/>
          </w:tcPr>
          <w:p w14:paraId="18E818D9" w14:textId="0589F3D9" w:rsidR="00EE4770" w:rsidRPr="00F60DE2" w:rsidRDefault="00EE4770" w:rsidP="00407873">
            <w:pPr>
              <w:rPr>
                <w:rFonts w:cstheme="minorHAnsi"/>
              </w:rPr>
            </w:pPr>
            <w:r w:rsidRPr="00F60DE2">
              <w:rPr>
                <w:rFonts w:cstheme="minorHAnsi"/>
              </w:rPr>
              <w:t>Hiring (if necessary)</w:t>
            </w:r>
          </w:p>
        </w:tc>
        <w:tc>
          <w:tcPr>
            <w:tcW w:w="810" w:type="dxa"/>
          </w:tcPr>
          <w:p w14:paraId="1B0DF1F5" w14:textId="77777777" w:rsidR="00EE4770" w:rsidRPr="00F60DE2" w:rsidRDefault="00EE4770" w:rsidP="00407873">
            <w:pPr>
              <w:jc w:val="center"/>
              <w:rPr>
                <w:rFonts w:cstheme="minorHAnsi"/>
              </w:rPr>
            </w:pPr>
            <w:r w:rsidRPr="00F60DE2">
              <w:rPr>
                <w:rFonts w:cstheme="minorHAnsi"/>
              </w:rPr>
              <w:t>X</w:t>
            </w:r>
          </w:p>
        </w:tc>
        <w:tc>
          <w:tcPr>
            <w:tcW w:w="900" w:type="dxa"/>
          </w:tcPr>
          <w:p w14:paraId="01081588" w14:textId="77777777" w:rsidR="00EE4770" w:rsidRPr="00F60DE2" w:rsidRDefault="00EE4770" w:rsidP="00407873">
            <w:pPr>
              <w:jc w:val="center"/>
              <w:rPr>
                <w:rFonts w:cstheme="minorHAnsi"/>
              </w:rPr>
            </w:pPr>
            <w:r w:rsidRPr="00F60DE2">
              <w:rPr>
                <w:rFonts w:cstheme="minorHAnsi"/>
              </w:rPr>
              <w:t>X</w:t>
            </w:r>
          </w:p>
        </w:tc>
        <w:tc>
          <w:tcPr>
            <w:tcW w:w="630" w:type="dxa"/>
          </w:tcPr>
          <w:p w14:paraId="2E2EA77F" w14:textId="77777777" w:rsidR="00EE4770" w:rsidRPr="00F60DE2" w:rsidRDefault="00EE4770" w:rsidP="00407873">
            <w:pPr>
              <w:jc w:val="center"/>
              <w:rPr>
                <w:rFonts w:cstheme="minorHAnsi"/>
              </w:rPr>
            </w:pPr>
          </w:p>
        </w:tc>
        <w:tc>
          <w:tcPr>
            <w:tcW w:w="630" w:type="dxa"/>
          </w:tcPr>
          <w:p w14:paraId="7BE112A1" w14:textId="77777777" w:rsidR="00EE4770" w:rsidRPr="00F60DE2" w:rsidRDefault="00EE4770" w:rsidP="00407873">
            <w:pPr>
              <w:jc w:val="center"/>
              <w:rPr>
                <w:rFonts w:cstheme="minorHAnsi"/>
              </w:rPr>
            </w:pPr>
          </w:p>
        </w:tc>
        <w:tc>
          <w:tcPr>
            <w:tcW w:w="900" w:type="dxa"/>
          </w:tcPr>
          <w:p w14:paraId="58143213" w14:textId="77777777" w:rsidR="00EE4770" w:rsidRPr="00F60DE2" w:rsidRDefault="00EE4770" w:rsidP="00407873">
            <w:pPr>
              <w:jc w:val="center"/>
              <w:rPr>
                <w:rFonts w:cstheme="minorHAnsi"/>
              </w:rPr>
            </w:pPr>
          </w:p>
        </w:tc>
        <w:tc>
          <w:tcPr>
            <w:tcW w:w="900" w:type="dxa"/>
          </w:tcPr>
          <w:p w14:paraId="4EDC899B" w14:textId="0FA8C181" w:rsidR="00EE4770" w:rsidRPr="00F60DE2" w:rsidRDefault="00EE4770" w:rsidP="00407873">
            <w:pPr>
              <w:jc w:val="center"/>
              <w:rPr>
                <w:rFonts w:cstheme="minorHAnsi"/>
              </w:rPr>
            </w:pPr>
          </w:p>
        </w:tc>
      </w:tr>
      <w:tr w:rsidR="00EE4770" w:rsidRPr="00F60DE2" w14:paraId="27EBD78A" w14:textId="77777777" w:rsidTr="00EE4770">
        <w:tc>
          <w:tcPr>
            <w:tcW w:w="3955" w:type="dxa"/>
          </w:tcPr>
          <w:p w14:paraId="44F26E45" w14:textId="28EDC132" w:rsidR="00EE4770" w:rsidRPr="00F60DE2" w:rsidRDefault="00EE4770" w:rsidP="00407873">
            <w:pPr>
              <w:rPr>
                <w:rFonts w:cstheme="minorHAnsi"/>
              </w:rPr>
            </w:pPr>
            <w:r w:rsidRPr="00F60DE2">
              <w:rPr>
                <w:rFonts w:cstheme="minorHAnsi"/>
              </w:rPr>
              <w:t>Payroll for all personnel named in proposal</w:t>
            </w:r>
          </w:p>
        </w:tc>
        <w:tc>
          <w:tcPr>
            <w:tcW w:w="810" w:type="dxa"/>
          </w:tcPr>
          <w:p w14:paraId="237D2183" w14:textId="77777777" w:rsidR="00EE4770" w:rsidRPr="00F60DE2" w:rsidRDefault="00EE4770" w:rsidP="00407873">
            <w:pPr>
              <w:jc w:val="center"/>
              <w:rPr>
                <w:rFonts w:cstheme="minorHAnsi"/>
              </w:rPr>
            </w:pPr>
            <w:r w:rsidRPr="00F60DE2">
              <w:rPr>
                <w:rFonts w:cstheme="minorHAnsi"/>
              </w:rPr>
              <w:t>X</w:t>
            </w:r>
          </w:p>
        </w:tc>
        <w:tc>
          <w:tcPr>
            <w:tcW w:w="900" w:type="dxa"/>
          </w:tcPr>
          <w:p w14:paraId="127B6D45" w14:textId="77777777" w:rsidR="00EE4770" w:rsidRPr="00F60DE2" w:rsidRDefault="00EE4770" w:rsidP="00407873">
            <w:pPr>
              <w:jc w:val="center"/>
              <w:rPr>
                <w:rFonts w:cstheme="minorHAnsi"/>
              </w:rPr>
            </w:pPr>
            <w:r w:rsidRPr="00F60DE2">
              <w:rPr>
                <w:rFonts w:cstheme="minorHAnsi"/>
              </w:rPr>
              <w:t>X</w:t>
            </w:r>
          </w:p>
        </w:tc>
        <w:tc>
          <w:tcPr>
            <w:tcW w:w="630" w:type="dxa"/>
          </w:tcPr>
          <w:p w14:paraId="241B98E8" w14:textId="77777777" w:rsidR="00EE4770" w:rsidRPr="00F60DE2" w:rsidRDefault="00EE4770" w:rsidP="00407873">
            <w:pPr>
              <w:jc w:val="center"/>
              <w:rPr>
                <w:rFonts w:cstheme="minorHAnsi"/>
              </w:rPr>
            </w:pPr>
          </w:p>
        </w:tc>
        <w:tc>
          <w:tcPr>
            <w:tcW w:w="630" w:type="dxa"/>
          </w:tcPr>
          <w:p w14:paraId="57454FF6" w14:textId="77777777" w:rsidR="00EE4770" w:rsidRPr="00F60DE2" w:rsidRDefault="00EE4770" w:rsidP="00407873">
            <w:pPr>
              <w:jc w:val="center"/>
              <w:rPr>
                <w:rFonts w:cstheme="minorHAnsi"/>
              </w:rPr>
            </w:pPr>
          </w:p>
        </w:tc>
        <w:tc>
          <w:tcPr>
            <w:tcW w:w="900" w:type="dxa"/>
          </w:tcPr>
          <w:p w14:paraId="26E26A99" w14:textId="77777777" w:rsidR="00EE4770" w:rsidRPr="00F60DE2" w:rsidRDefault="00EE4770" w:rsidP="00407873">
            <w:pPr>
              <w:jc w:val="center"/>
              <w:rPr>
                <w:rFonts w:cstheme="minorHAnsi"/>
              </w:rPr>
            </w:pPr>
          </w:p>
        </w:tc>
        <w:tc>
          <w:tcPr>
            <w:tcW w:w="900" w:type="dxa"/>
          </w:tcPr>
          <w:p w14:paraId="51C5AF88" w14:textId="19D1F64B" w:rsidR="00EE4770" w:rsidRPr="00F60DE2" w:rsidRDefault="00EE4770" w:rsidP="00407873">
            <w:pPr>
              <w:jc w:val="center"/>
              <w:rPr>
                <w:rFonts w:cstheme="minorHAnsi"/>
              </w:rPr>
            </w:pPr>
          </w:p>
        </w:tc>
      </w:tr>
      <w:tr w:rsidR="00EE4770" w:rsidRPr="00F60DE2" w14:paraId="22356F8D" w14:textId="77777777" w:rsidTr="00EE4770">
        <w:tc>
          <w:tcPr>
            <w:tcW w:w="3955" w:type="dxa"/>
          </w:tcPr>
          <w:p w14:paraId="1DB88886" w14:textId="77777777" w:rsidR="00EE4770" w:rsidRPr="00F60DE2" w:rsidRDefault="00EE4770" w:rsidP="00407873">
            <w:pPr>
              <w:rPr>
                <w:rFonts w:cstheme="minorHAnsi"/>
              </w:rPr>
            </w:pPr>
            <w:r w:rsidRPr="00F60DE2">
              <w:rPr>
                <w:rFonts w:cstheme="minorHAnsi"/>
              </w:rPr>
              <w:t xml:space="preserve">Purchases </w:t>
            </w:r>
          </w:p>
        </w:tc>
        <w:tc>
          <w:tcPr>
            <w:tcW w:w="810" w:type="dxa"/>
          </w:tcPr>
          <w:p w14:paraId="4B5A49C8" w14:textId="77777777" w:rsidR="00EE4770" w:rsidRPr="00F60DE2" w:rsidRDefault="00EE4770" w:rsidP="00407873">
            <w:pPr>
              <w:jc w:val="center"/>
              <w:rPr>
                <w:rFonts w:cstheme="minorHAnsi"/>
              </w:rPr>
            </w:pPr>
            <w:r w:rsidRPr="00F60DE2">
              <w:rPr>
                <w:rFonts w:cstheme="minorHAnsi"/>
              </w:rPr>
              <w:t>X</w:t>
            </w:r>
          </w:p>
        </w:tc>
        <w:tc>
          <w:tcPr>
            <w:tcW w:w="900" w:type="dxa"/>
          </w:tcPr>
          <w:p w14:paraId="61CD53F9" w14:textId="77777777" w:rsidR="00EE4770" w:rsidRPr="00F60DE2" w:rsidRDefault="00EE4770" w:rsidP="00407873">
            <w:pPr>
              <w:jc w:val="center"/>
              <w:rPr>
                <w:rFonts w:cstheme="minorHAnsi"/>
              </w:rPr>
            </w:pPr>
            <w:r w:rsidRPr="00F60DE2">
              <w:rPr>
                <w:rFonts w:cstheme="minorHAnsi"/>
              </w:rPr>
              <w:t>X</w:t>
            </w:r>
          </w:p>
        </w:tc>
        <w:tc>
          <w:tcPr>
            <w:tcW w:w="630" w:type="dxa"/>
          </w:tcPr>
          <w:p w14:paraId="1D1B5AE4" w14:textId="77777777" w:rsidR="00EE4770" w:rsidRPr="00F60DE2" w:rsidRDefault="00EE4770" w:rsidP="00407873">
            <w:pPr>
              <w:jc w:val="center"/>
              <w:rPr>
                <w:rFonts w:cstheme="minorHAnsi"/>
              </w:rPr>
            </w:pPr>
          </w:p>
        </w:tc>
        <w:tc>
          <w:tcPr>
            <w:tcW w:w="630" w:type="dxa"/>
          </w:tcPr>
          <w:p w14:paraId="7DD8B2C3" w14:textId="77777777" w:rsidR="00EE4770" w:rsidRPr="00F60DE2" w:rsidRDefault="00EE4770" w:rsidP="00407873">
            <w:pPr>
              <w:jc w:val="center"/>
              <w:rPr>
                <w:rFonts w:cstheme="minorHAnsi"/>
              </w:rPr>
            </w:pPr>
          </w:p>
        </w:tc>
        <w:tc>
          <w:tcPr>
            <w:tcW w:w="900" w:type="dxa"/>
          </w:tcPr>
          <w:p w14:paraId="08FBD075" w14:textId="77777777" w:rsidR="00EE4770" w:rsidRPr="00F60DE2" w:rsidRDefault="00EE4770" w:rsidP="00407873">
            <w:pPr>
              <w:jc w:val="center"/>
              <w:rPr>
                <w:rFonts w:cstheme="minorHAnsi"/>
              </w:rPr>
            </w:pPr>
          </w:p>
        </w:tc>
        <w:tc>
          <w:tcPr>
            <w:tcW w:w="900" w:type="dxa"/>
          </w:tcPr>
          <w:p w14:paraId="3D7A91BA" w14:textId="572030C5" w:rsidR="00EE4770" w:rsidRPr="00F60DE2" w:rsidRDefault="00EE4770" w:rsidP="00407873">
            <w:pPr>
              <w:jc w:val="center"/>
              <w:rPr>
                <w:rFonts w:cstheme="minorHAnsi"/>
              </w:rPr>
            </w:pPr>
          </w:p>
        </w:tc>
      </w:tr>
      <w:tr w:rsidR="00EE4770" w:rsidRPr="00F60DE2" w14:paraId="0EE88047" w14:textId="77777777" w:rsidTr="00EE4770">
        <w:tc>
          <w:tcPr>
            <w:tcW w:w="3955" w:type="dxa"/>
          </w:tcPr>
          <w:p w14:paraId="6A36B6D7" w14:textId="72426ABF" w:rsidR="00EE4770" w:rsidRPr="00F60DE2" w:rsidRDefault="00EE4770" w:rsidP="00407873">
            <w:pPr>
              <w:rPr>
                <w:rFonts w:cstheme="minorHAnsi"/>
              </w:rPr>
            </w:pPr>
            <w:r>
              <w:rPr>
                <w:rFonts w:cstheme="minorHAnsi"/>
              </w:rPr>
              <w:t>Set-up all ASTRA and Ariba spending authorizations.</w:t>
            </w:r>
          </w:p>
        </w:tc>
        <w:tc>
          <w:tcPr>
            <w:tcW w:w="810" w:type="dxa"/>
          </w:tcPr>
          <w:p w14:paraId="50114406" w14:textId="77777777" w:rsidR="00EE4770" w:rsidRPr="00F60DE2" w:rsidRDefault="00EE4770" w:rsidP="00407873">
            <w:pPr>
              <w:jc w:val="center"/>
              <w:rPr>
                <w:rFonts w:cstheme="minorHAnsi"/>
              </w:rPr>
            </w:pPr>
          </w:p>
        </w:tc>
        <w:tc>
          <w:tcPr>
            <w:tcW w:w="900" w:type="dxa"/>
          </w:tcPr>
          <w:p w14:paraId="416B85ED" w14:textId="79060AF5" w:rsidR="00EE4770" w:rsidRPr="00F60DE2" w:rsidRDefault="00EE4770" w:rsidP="00407873">
            <w:pPr>
              <w:jc w:val="center"/>
              <w:rPr>
                <w:rFonts w:cstheme="minorHAnsi"/>
              </w:rPr>
            </w:pPr>
            <w:r>
              <w:rPr>
                <w:rFonts w:cstheme="minorHAnsi"/>
              </w:rPr>
              <w:t>X</w:t>
            </w:r>
          </w:p>
        </w:tc>
        <w:tc>
          <w:tcPr>
            <w:tcW w:w="630" w:type="dxa"/>
          </w:tcPr>
          <w:p w14:paraId="54FDB694" w14:textId="77777777" w:rsidR="00EE4770" w:rsidRDefault="00EE4770" w:rsidP="00407873">
            <w:pPr>
              <w:jc w:val="center"/>
              <w:rPr>
                <w:rFonts w:cstheme="minorHAnsi"/>
              </w:rPr>
            </w:pPr>
          </w:p>
        </w:tc>
        <w:tc>
          <w:tcPr>
            <w:tcW w:w="630" w:type="dxa"/>
          </w:tcPr>
          <w:p w14:paraId="245231AC" w14:textId="77777777" w:rsidR="00EE4770" w:rsidRPr="00F60DE2" w:rsidRDefault="00EE4770" w:rsidP="00407873">
            <w:pPr>
              <w:jc w:val="center"/>
              <w:rPr>
                <w:rFonts w:cstheme="minorHAnsi"/>
              </w:rPr>
            </w:pPr>
          </w:p>
        </w:tc>
        <w:tc>
          <w:tcPr>
            <w:tcW w:w="900" w:type="dxa"/>
          </w:tcPr>
          <w:p w14:paraId="0048482A" w14:textId="77DF56A8" w:rsidR="00EE4770" w:rsidRPr="00F60DE2" w:rsidRDefault="00EE4770" w:rsidP="00407873">
            <w:pPr>
              <w:jc w:val="center"/>
              <w:rPr>
                <w:rFonts w:cstheme="minorHAnsi"/>
              </w:rPr>
            </w:pPr>
            <w:r>
              <w:rPr>
                <w:rFonts w:cstheme="minorHAnsi"/>
              </w:rPr>
              <w:t>X</w:t>
            </w:r>
          </w:p>
        </w:tc>
        <w:tc>
          <w:tcPr>
            <w:tcW w:w="900" w:type="dxa"/>
          </w:tcPr>
          <w:p w14:paraId="70051AF8" w14:textId="77777777" w:rsidR="00EE4770" w:rsidRPr="00F60DE2" w:rsidRDefault="00EE4770" w:rsidP="00407873">
            <w:pPr>
              <w:jc w:val="center"/>
              <w:rPr>
                <w:rFonts w:cstheme="minorHAnsi"/>
              </w:rPr>
            </w:pPr>
          </w:p>
        </w:tc>
      </w:tr>
      <w:tr w:rsidR="00EE4770" w:rsidRPr="00F60DE2" w14:paraId="71FC3B8B" w14:textId="77777777" w:rsidTr="00EE4770">
        <w:tc>
          <w:tcPr>
            <w:tcW w:w="3955" w:type="dxa"/>
          </w:tcPr>
          <w:p w14:paraId="77054C09" w14:textId="77777777" w:rsidR="00EE4770" w:rsidRPr="00F60DE2" w:rsidRDefault="00EE4770" w:rsidP="00407873">
            <w:pPr>
              <w:rPr>
                <w:rFonts w:cstheme="minorHAnsi"/>
              </w:rPr>
            </w:pPr>
            <w:r w:rsidRPr="00F60DE2">
              <w:rPr>
                <w:rFonts w:cstheme="minorHAnsi"/>
              </w:rPr>
              <w:t>Reconciliation</w:t>
            </w:r>
          </w:p>
        </w:tc>
        <w:tc>
          <w:tcPr>
            <w:tcW w:w="810" w:type="dxa"/>
          </w:tcPr>
          <w:p w14:paraId="2142F0FA" w14:textId="77777777" w:rsidR="00EE4770" w:rsidRPr="00F60DE2" w:rsidRDefault="00EE4770" w:rsidP="00407873">
            <w:pPr>
              <w:jc w:val="center"/>
              <w:rPr>
                <w:rFonts w:cstheme="minorHAnsi"/>
              </w:rPr>
            </w:pPr>
            <w:r w:rsidRPr="00F60DE2">
              <w:rPr>
                <w:rFonts w:cstheme="minorHAnsi"/>
              </w:rPr>
              <w:t>X</w:t>
            </w:r>
          </w:p>
        </w:tc>
        <w:tc>
          <w:tcPr>
            <w:tcW w:w="900" w:type="dxa"/>
          </w:tcPr>
          <w:p w14:paraId="20237C77" w14:textId="77777777" w:rsidR="00EE4770" w:rsidRPr="00F60DE2" w:rsidRDefault="00EE4770" w:rsidP="00407873">
            <w:pPr>
              <w:jc w:val="center"/>
              <w:rPr>
                <w:rFonts w:cstheme="minorHAnsi"/>
              </w:rPr>
            </w:pPr>
          </w:p>
        </w:tc>
        <w:tc>
          <w:tcPr>
            <w:tcW w:w="630" w:type="dxa"/>
          </w:tcPr>
          <w:p w14:paraId="0C6AAC50" w14:textId="0986BA9C" w:rsidR="00EE4770" w:rsidRPr="00F60DE2" w:rsidRDefault="00EE4770" w:rsidP="00407873">
            <w:pPr>
              <w:jc w:val="center"/>
              <w:rPr>
                <w:rFonts w:cstheme="minorHAnsi"/>
              </w:rPr>
            </w:pPr>
            <w:r>
              <w:rPr>
                <w:rFonts w:cstheme="minorHAnsi"/>
              </w:rPr>
              <w:t>X</w:t>
            </w:r>
          </w:p>
        </w:tc>
        <w:tc>
          <w:tcPr>
            <w:tcW w:w="630" w:type="dxa"/>
          </w:tcPr>
          <w:p w14:paraId="536F3117" w14:textId="77777777" w:rsidR="00EE4770" w:rsidRPr="00F60DE2" w:rsidRDefault="00EE4770" w:rsidP="00407873">
            <w:pPr>
              <w:jc w:val="center"/>
              <w:rPr>
                <w:rFonts w:cstheme="minorHAnsi"/>
              </w:rPr>
            </w:pPr>
          </w:p>
        </w:tc>
        <w:tc>
          <w:tcPr>
            <w:tcW w:w="900" w:type="dxa"/>
          </w:tcPr>
          <w:p w14:paraId="1A1BF801" w14:textId="77777777" w:rsidR="00EE4770" w:rsidRPr="00F60DE2" w:rsidRDefault="00EE4770" w:rsidP="00407873">
            <w:pPr>
              <w:jc w:val="center"/>
              <w:rPr>
                <w:rFonts w:cstheme="minorHAnsi"/>
              </w:rPr>
            </w:pPr>
          </w:p>
        </w:tc>
        <w:tc>
          <w:tcPr>
            <w:tcW w:w="900" w:type="dxa"/>
          </w:tcPr>
          <w:p w14:paraId="73612CAF" w14:textId="3F78D8A5" w:rsidR="00EE4770" w:rsidRPr="00F60DE2" w:rsidRDefault="00EE4770" w:rsidP="00407873">
            <w:pPr>
              <w:jc w:val="center"/>
              <w:rPr>
                <w:rFonts w:cstheme="minorHAnsi"/>
              </w:rPr>
            </w:pPr>
          </w:p>
        </w:tc>
      </w:tr>
      <w:tr w:rsidR="00EE4770" w:rsidRPr="00F60DE2" w14:paraId="4CB3EC25" w14:textId="77777777" w:rsidTr="00EE4770">
        <w:tc>
          <w:tcPr>
            <w:tcW w:w="3955" w:type="dxa"/>
          </w:tcPr>
          <w:p w14:paraId="74853B01" w14:textId="77777777" w:rsidR="00EE4770" w:rsidRPr="00F60DE2" w:rsidRDefault="00EE4770" w:rsidP="00407873">
            <w:pPr>
              <w:rPr>
                <w:rFonts w:cstheme="minorHAnsi"/>
              </w:rPr>
            </w:pPr>
            <w:r w:rsidRPr="00F60DE2">
              <w:rPr>
                <w:rFonts w:cstheme="minorHAnsi"/>
              </w:rPr>
              <w:t>Reconciliation documentation</w:t>
            </w:r>
          </w:p>
        </w:tc>
        <w:tc>
          <w:tcPr>
            <w:tcW w:w="810" w:type="dxa"/>
          </w:tcPr>
          <w:p w14:paraId="36358AC7" w14:textId="77777777" w:rsidR="00EE4770" w:rsidRPr="00F60DE2" w:rsidRDefault="00EE4770" w:rsidP="00407873">
            <w:pPr>
              <w:jc w:val="center"/>
              <w:rPr>
                <w:rFonts w:cstheme="minorHAnsi"/>
              </w:rPr>
            </w:pPr>
          </w:p>
        </w:tc>
        <w:tc>
          <w:tcPr>
            <w:tcW w:w="900" w:type="dxa"/>
          </w:tcPr>
          <w:p w14:paraId="3F19C00C" w14:textId="77777777" w:rsidR="00EE4770" w:rsidRPr="00F60DE2" w:rsidRDefault="00EE4770" w:rsidP="00407873">
            <w:pPr>
              <w:jc w:val="center"/>
              <w:rPr>
                <w:rFonts w:cstheme="minorHAnsi"/>
              </w:rPr>
            </w:pPr>
            <w:r w:rsidRPr="00F60DE2">
              <w:rPr>
                <w:rFonts w:cstheme="minorHAnsi"/>
              </w:rPr>
              <w:t>X</w:t>
            </w:r>
          </w:p>
        </w:tc>
        <w:tc>
          <w:tcPr>
            <w:tcW w:w="630" w:type="dxa"/>
          </w:tcPr>
          <w:p w14:paraId="59E95856" w14:textId="77777777" w:rsidR="00EE4770" w:rsidRPr="00F60DE2" w:rsidRDefault="00EE4770" w:rsidP="00407873">
            <w:pPr>
              <w:jc w:val="center"/>
              <w:rPr>
                <w:rFonts w:cstheme="minorHAnsi"/>
              </w:rPr>
            </w:pPr>
          </w:p>
        </w:tc>
        <w:tc>
          <w:tcPr>
            <w:tcW w:w="630" w:type="dxa"/>
          </w:tcPr>
          <w:p w14:paraId="02B9F0BD" w14:textId="77777777" w:rsidR="00EE4770" w:rsidRPr="00F60DE2" w:rsidRDefault="00EE4770" w:rsidP="00407873">
            <w:pPr>
              <w:jc w:val="center"/>
              <w:rPr>
                <w:rFonts w:cstheme="minorHAnsi"/>
              </w:rPr>
            </w:pPr>
          </w:p>
        </w:tc>
        <w:tc>
          <w:tcPr>
            <w:tcW w:w="900" w:type="dxa"/>
          </w:tcPr>
          <w:p w14:paraId="042741C6" w14:textId="77777777" w:rsidR="00EE4770" w:rsidRPr="00F60DE2" w:rsidRDefault="00EE4770" w:rsidP="00407873">
            <w:pPr>
              <w:jc w:val="center"/>
              <w:rPr>
                <w:rFonts w:cstheme="minorHAnsi"/>
              </w:rPr>
            </w:pPr>
          </w:p>
        </w:tc>
        <w:tc>
          <w:tcPr>
            <w:tcW w:w="900" w:type="dxa"/>
          </w:tcPr>
          <w:p w14:paraId="67EEBC1F" w14:textId="3E05EB78" w:rsidR="00EE4770" w:rsidRPr="00F60DE2" w:rsidRDefault="00EE4770" w:rsidP="00407873">
            <w:pPr>
              <w:jc w:val="center"/>
              <w:rPr>
                <w:rFonts w:cstheme="minorHAnsi"/>
              </w:rPr>
            </w:pPr>
          </w:p>
        </w:tc>
      </w:tr>
      <w:tr w:rsidR="00EE4770" w:rsidRPr="00F60DE2" w14:paraId="01A801E8" w14:textId="77777777" w:rsidTr="00EE4770">
        <w:tc>
          <w:tcPr>
            <w:tcW w:w="3955" w:type="dxa"/>
          </w:tcPr>
          <w:p w14:paraId="2D771D16" w14:textId="77777777" w:rsidR="00EE4770" w:rsidRPr="00F60DE2" w:rsidRDefault="00EE4770" w:rsidP="00407873">
            <w:pPr>
              <w:rPr>
                <w:rFonts w:cstheme="minorHAnsi"/>
              </w:rPr>
            </w:pPr>
            <w:r w:rsidRPr="00F60DE2">
              <w:rPr>
                <w:rFonts w:cstheme="minorHAnsi"/>
              </w:rPr>
              <w:t>Reporting (technical)</w:t>
            </w:r>
          </w:p>
        </w:tc>
        <w:tc>
          <w:tcPr>
            <w:tcW w:w="810" w:type="dxa"/>
          </w:tcPr>
          <w:p w14:paraId="4DA3A012" w14:textId="77777777" w:rsidR="00EE4770" w:rsidRPr="00F60DE2" w:rsidRDefault="00EE4770" w:rsidP="00407873">
            <w:pPr>
              <w:jc w:val="center"/>
              <w:rPr>
                <w:rFonts w:cstheme="minorHAnsi"/>
              </w:rPr>
            </w:pPr>
            <w:r w:rsidRPr="00F60DE2">
              <w:rPr>
                <w:rFonts w:cstheme="minorHAnsi"/>
              </w:rPr>
              <w:t>X</w:t>
            </w:r>
          </w:p>
        </w:tc>
        <w:tc>
          <w:tcPr>
            <w:tcW w:w="900" w:type="dxa"/>
          </w:tcPr>
          <w:p w14:paraId="1940AC88" w14:textId="77777777" w:rsidR="00EE4770" w:rsidRPr="00F60DE2" w:rsidRDefault="00EE4770" w:rsidP="00407873">
            <w:pPr>
              <w:jc w:val="center"/>
              <w:rPr>
                <w:rFonts w:cstheme="minorHAnsi"/>
              </w:rPr>
            </w:pPr>
          </w:p>
        </w:tc>
        <w:tc>
          <w:tcPr>
            <w:tcW w:w="630" w:type="dxa"/>
          </w:tcPr>
          <w:p w14:paraId="612796A6" w14:textId="77777777" w:rsidR="00EE4770" w:rsidRPr="00F60DE2" w:rsidRDefault="00EE4770" w:rsidP="00407873">
            <w:pPr>
              <w:jc w:val="center"/>
              <w:rPr>
                <w:rFonts w:cstheme="minorHAnsi"/>
              </w:rPr>
            </w:pPr>
          </w:p>
        </w:tc>
        <w:tc>
          <w:tcPr>
            <w:tcW w:w="630" w:type="dxa"/>
          </w:tcPr>
          <w:p w14:paraId="0952B6AB" w14:textId="77777777" w:rsidR="00EE4770" w:rsidRPr="00F60DE2" w:rsidRDefault="00EE4770" w:rsidP="00407873">
            <w:pPr>
              <w:jc w:val="center"/>
              <w:rPr>
                <w:rFonts w:cstheme="minorHAnsi"/>
              </w:rPr>
            </w:pPr>
          </w:p>
        </w:tc>
        <w:tc>
          <w:tcPr>
            <w:tcW w:w="900" w:type="dxa"/>
          </w:tcPr>
          <w:p w14:paraId="01194B92" w14:textId="77777777" w:rsidR="00EE4770" w:rsidRPr="00F60DE2" w:rsidRDefault="00EE4770" w:rsidP="00407873">
            <w:pPr>
              <w:jc w:val="center"/>
              <w:rPr>
                <w:rFonts w:cstheme="minorHAnsi"/>
              </w:rPr>
            </w:pPr>
          </w:p>
        </w:tc>
        <w:tc>
          <w:tcPr>
            <w:tcW w:w="900" w:type="dxa"/>
          </w:tcPr>
          <w:p w14:paraId="46CB55D1" w14:textId="711300F9" w:rsidR="00EE4770" w:rsidRPr="00F60DE2" w:rsidRDefault="00EE4770" w:rsidP="00407873">
            <w:pPr>
              <w:jc w:val="center"/>
              <w:rPr>
                <w:rFonts w:cstheme="minorHAnsi"/>
              </w:rPr>
            </w:pPr>
          </w:p>
        </w:tc>
      </w:tr>
      <w:tr w:rsidR="00EE4770" w:rsidRPr="00F60DE2" w14:paraId="34F2380D" w14:textId="77777777" w:rsidTr="00EE4770">
        <w:tc>
          <w:tcPr>
            <w:tcW w:w="3955" w:type="dxa"/>
          </w:tcPr>
          <w:p w14:paraId="255DBFA1" w14:textId="77777777" w:rsidR="00EE4770" w:rsidRPr="00F60DE2" w:rsidRDefault="00EE4770" w:rsidP="00407873">
            <w:pPr>
              <w:rPr>
                <w:rFonts w:cstheme="minorHAnsi"/>
              </w:rPr>
            </w:pPr>
            <w:r w:rsidRPr="00F60DE2">
              <w:rPr>
                <w:rFonts w:cstheme="minorHAnsi"/>
              </w:rPr>
              <w:t>Reporting (financial – normal)</w:t>
            </w:r>
          </w:p>
        </w:tc>
        <w:tc>
          <w:tcPr>
            <w:tcW w:w="810" w:type="dxa"/>
          </w:tcPr>
          <w:p w14:paraId="188D4C9F" w14:textId="77777777" w:rsidR="00EE4770" w:rsidRPr="00F60DE2" w:rsidRDefault="00EE4770" w:rsidP="00407873">
            <w:pPr>
              <w:jc w:val="center"/>
              <w:rPr>
                <w:rFonts w:cstheme="minorHAnsi"/>
              </w:rPr>
            </w:pPr>
          </w:p>
        </w:tc>
        <w:tc>
          <w:tcPr>
            <w:tcW w:w="900" w:type="dxa"/>
          </w:tcPr>
          <w:p w14:paraId="7FC13986" w14:textId="77777777" w:rsidR="00EE4770" w:rsidRPr="00F60DE2" w:rsidRDefault="00EE4770" w:rsidP="00407873">
            <w:pPr>
              <w:jc w:val="center"/>
              <w:rPr>
                <w:rFonts w:cstheme="minorHAnsi"/>
              </w:rPr>
            </w:pPr>
          </w:p>
        </w:tc>
        <w:tc>
          <w:tcPr>
            <w:tcW w:w="630" w:type="dxa"/>
          </w:tcPr>
          <w:p w14:paraId="32C8D65C" w14:textId="77777777" w:rsidR="00EE4770" w:rsidRPr="00F60DE2" w:rsidRDefault="00EE4770" w:rsidP="00407873">
            <w:pPr>
              <w:jc w:val="center"/>
              <w:rPr>
                <w:rFonts w:cstheme="minorHAnsi"/>
              </w:rPr>
            </w:pPr>
          </w:p>
        </w:tc>
        <w:tc>
          <w:tcPr>
            <w:tcW w:w="630" w:type="dxa"/>
          </w:tcPr>
          <w:p w14:paraId="575A0D9A" w14:textId="77777777" w:rsidR="00EE4770" w:rsidRPr="00F60DE2" w:rsidRDefault="00EE4770" w:rsidP="00407873">
            <w:pPr>
              <w:jc w:val="center"/>
              <w:rPr>
                <w:rFonts w:cstheme="minorHAnsi"/>
              </w:rPr>
            </w:pPr>
          </w:p>
        </w:tc>
        <w:tc>
          <w:tcPr>
            <w:tcW w:w="900" w:type="dxa"/>
          </w:tcPr>
          <w:p w14:paraId="13A765E0" w14:textId="77777777" w:rsidR="00EE4770" w:rsidRPr="00F60DE2" w:rsidRDefault="00EE4770" w:rsidP="00407873">
            <w:pPr>
              <w:jc w:val="center"/>
              <w:rPr>
                <w:rFonts w:cstheme="minorHAnsi"/>
              </w:rPr>
            </w:pPr>
          </w:p>
        </w:tc>
        <w:tc>
          <w:tcPr>
            <w:tcW w:w="900" w:type="dxa"/>
          </w:tcPr>
          <w:p w14:paraId="5DD44F47" w14:textId="4274BDF0" w:rsidR="00EE4770" w:rsidRPr="00F60DE2" w:rsidRDefault="00EE4770" w:rsidP="00407873">
            <w:pPr>
              <w:jc w:val="center"/>
              <w:rPr>
                <w:rFonts w:cstheme="minorHAnsi"/>
              </w:rPr>
            </w:pPr>
            <w:r w:rsidRPr="00F60DE2">
              <w:rPr>
                <w:rFonts w:cstheme="minorHAnsi"/>
              </w:rPr>
              <w:t>X</w:t>
            </w:r>
          </w:p>
        </w:tc>
      </w:tr>
      <w:tr w:rsidR="00EE4770" w:rsidRPr="00F60DE2" w14:paraId="142DB76F" w14:textId="77777777" w:rsidTr="00EE4770">
        <w:tc>
          <w:tcPr>
            <w:tcW w:w="3955" w:type="dxa"/>
          </w:tcPr>
          <w:p w14:paraId="4B5D1BB8" w14:textId="77777777" w:rsidR="00EE4770" w:rsidRPr="00F60DE2" w:rsidRDefault="00EE4770" w:rsidP="00407873">
            <w:pPr>
              <w:rPr>
                <w:rFonts w:cstheme="minorHAnsi"/>
              </w:rPr>
            </w:pPr>
            <w:r w:rsidRPr="00F60DE2">
              <w:rPr>
                <w:rFonts w:cstheme="minorHAnsi"/>
              </w:rPr>
              <w:t>Reporting (financial – extended)</w:t>
            </w:r>
          </w:p>
        </w:tc>
        <w:tc>
          <w:tcPr>
            <w:tcW w:w="810" w:type="dxa"/>
          </w:tcPr>
          <w:p w14:paraId="4DFD493F" w14:textId="77777777" w:rsidR="00EE4770" w:rsidRPr="00F60DE2" w:rsidRDefault="00EE4770" w:rsidP="00407873">
            <w:pPr>
              <w:jc w:val="center"/>
              <w:rPr>
                <w:rFonts w:cstheme="minorHAnsi"/>
              </w:rPr>
            </w:pPr>
          </w:p>
        </w:tc>
        <w:tc>
          <w:tcPr>
            <w:tcW w:w="900" w:type="dxa"/>
          </w:tcPr>
          <w:p w14:paraId="08EFC2D7" w14:textId="77777777" w:rsidR="00EE4770" w:rsidRPr="00F60DE2" w:rsidRDefault="00EE4770" w:rsidP="00407873">
            <w:pPr>
              <w:jc w:val="center"/>
              <w:rPr>
                <w:rFonts w:cstheme="minorHAnsi"/>
              </w:rPr>
            </w:pPr>
            <w:r w:rsidRPr="00F60DE2">
              <w:rPr>
                <w:rFonts w:cstheme="minorHAnsi"/>
              </w:rPr>
              <w:t>X</w:t>
            </w:r>
          </w:p>
        </w:tc>
        <w:tc>
          <w:tcPr>
            <w:tcW w:w="630" w:type="dxa"/>
          </w:tcPr>
          <w:p w14:paraId="71127A7C" w14:textId="77777777" w:rsidR="00EE4770" w:rsidRPr="00F60DE2" w:rsidRDefault="00EE4770" w:rsidP="00407873">
            <w:pPr>
              <w:jc w:val="center"/>
              <w:rPr>
                <w:rFonts w:cstheme="minorHAnsi"/>
              </w:rPr>
            </w:pPr>
          </w:p>
        </w:tc>
        <w:tc>
          <w:tcPr>
            <w:tcW w:w="630" w:type="dxa"/>
          </w:tcPr>
          <w:p w14:paraId="13BE3BA6" w14:textId="77777777" w:rsidR="00EE4770" w:rsidRPr="00F60DE2" w:rsidRDefault="00EE4770" w:rsidP="00407873">
            <w:pPr>
              <w:jc w:val="center"/>
              <w:rPr>
                <w:rFonts w:cstheme="minorHAnsi"/>
              </w:rPr>
            </w:pPr>
          </w:p>
        </w:tc>
        <w:tc>
          <w:tcPr>
            <w:tcW w:w="900" w:type="dxa"/>
          </w:tcPr>
          <w:p w14:paraId="395E0EFF" w14:textId="77777777" w:rsidR="00EE4770" w:rsidRPr="00F60DE2" w:rsidRDefault="00EE4770" w:rsidP="00407873">
            <w:pPr>
              <w:jc w:val="center"/>
              <w:rPr>
                <w:rFonts w:cstheme="minorHAnsi"/>
              </w:rPr>
            </w:pPr>
          </w:p>
        </w:tc>
        <w:tc>
          <w:tcPr>
            <w:tcW w:w="900" w:type="dxa"/>
          </w:tcPr>
          <w:p w14:paraId="6CF1D2B7" w14:textId="17FBFE78" w:rsidR="00EE4770" w:rsidRPr="00F60DE2" w:rsidRDefault="00EE4770" w:rsidP="00407873">
            <w:pPr>
              <w:jc w:val="center"/>
              <w:rPr>
                <w:rFonts w:cstheme="minorHAnsi"/>
              </w:rPr>
            </w:pPr>
            <w:r w:rsidRPr="00F60DE2">
              <w:rPr>
                <w:rFonts w:cstheme="minorHAnsi"/>
              </w:rPr>
              <w:t>X</w:t>
            </w:r>
          </w:p>
        </w:tc>
      </w:tr>
      <w:tr w:rsidR="00EE4770" w:rsidRPr="00F60DE2" w14:paraId="2B1F3DAE" w14:textId="77777777" w:rsidTr="00EE4770">
        <w:tc>
          <w:tcPr>
            <w:tcW w:w="3955" w:type="dxa"/>
          </w:tcPr>
          <w:p w14:paraId="38E2E807" w14:textId="77777777" w:rsidR="00EE4770" w:rsidRPr="00F60DE2" w:rsidRDefault="00EE4770" w:rsidP="00407873">
            <w:pPr>
              <w:rPr>
                <w:rFonts w:cstheme="minorHAnsi"/>
              </w:rPr>
            </w:pPr>
            <w:r w:rsidRPr="00F60DE2">
              <w:rPr>
                <w:rFonts w:cstheme="minorHAnsi"/>
              </w:rPr>
              <w:t>Sponsor communications – technical</w:t>
            </w:r>
          </w:p>
        </w:tc>
        <w:tc>
          <w:tcPr>
            <w:tcW w:w="810" w:type="dxa"/>
          </w:tcPr>
          <w:p w14:paraId="73EC320D" w14:textId="77777777" w:rsidR="00EE4770" w:rsidRPr="00F60DE2" w:rsidRDefault="00EE4770" w:rsidP="00407873">
            <w:pPr>
              <w:jc w:val="center"/>
              <w:rPr>
                <w:rFonts w:cstheme="minorHAnsi"/>
              </w:rPr>
            </w:pPr>
            <w:r w:rsidRPr="00F60DE2">
              <w:rPr>
                <w:rFonts w:cstheme="minorHAnsi"/>
              </w:rPr>
              <w:t>X</w:t>
            </w:r>
          </w:p>
        </w:tc>
        <w:tc>
          <w:tcPr>
            <w:tcW w:w="900" w:type="dxa"/>
          </w:tcPr>
          <w:p w14:paraId="474910F0" w14:textId="77777777" w:rsidR="00EE4770" w:rsidRPr="00F60DE2" w:rsidRDefault="00EE4770" w:rsidP="00407873">
            <w:pPr>
              <w:jc w:val="center"/>
              <w:rPr>
                <w:rFonts w:cstheme="minorHAnsi"/>
              </w:rPr>
            </w:pPr>
          </w:p>
        </w:tc>
        <w:tc>
          <w:tcPr>
            <w:tcW w:w="630" w:type="dxa"/>
          </w:tcPr>
          <w:p w14:paraId="591B9689" w14:textId="77777777" w:rsidR="00EE4770" w:rsidRPr="00F60DE2" w:rsidRDefault="00EE4770" w:rsidP="00407873">
            <w:pPr>
              <w:jc w:val="center"/>
              <w:rPr>
                <w:rFonts w:cstheme="minorHAnsi"/>
              </w:rPr>
            </w:pPr>
          </w:p>
        </w:tc>
        <w:tc>
          <w:tcPr>
            <w:tcW w:w="630" w:type="dxa"/>
          </w:tcPr>
          <w:p w14:paraId="01D96C7B" w14:textId="77777777" w:rsidR="00EE4770" w:rsidRPr="00F60DE2" w:rsidRDefault="00EE4770" w:rsidP="00407873">
            <w:pPr>
              <w:jc w:val="center"/>
              <w:rPr>
                <w:rFonts w:cstheme="minorHAnsi"/>
              </w:rPr>
            </w:pPr>
          </w:p>
        </w:tc>
        <w:tc>
          <w:tcPr>
            <w:tcW w:w="900" w:type="dxa"/>
          </w:tcPr>
          <w:p w14:paraId="7C21602C" w14:textId="77777777" w:rsidR="00EE4770" w:rsidRPr="00F60DE2" w:rsidRDefault="00EE4770" w:rsidP="00407873">
            <w:pPr>
              <w:jc w:val="center"/>
              <w:rPr>
                <w:rFonts w:cstheme="minorHAnsi"/>
              </w:rPr>
            </w:pPr>
          </w:p>
        </w:tc>
        <w:tc>
          <w:tcPr>
            <w:tcW w:w="900" w:type="dxa"/>
          </w:tcPr>
          <w:p w14:paraId="126AED53" w14:textId="68721876" w:rsidR="00EE4770" w:rsidRPr="00F60DE2" w:rsidRDefault="00EE4770" w:rsidP="00407873">
            <w:pPr>
              <w:jc w:val="center"/>
              <w:rPr>
                <w:rFonts w:cstheme="minorHAnsi"/>
              </w:rPr>
            </w:pPr>
          </w:p>
        </w:tc>
      </w:tr>
      <w:tr w:rsidR="00EE4770" w:rsidRPr="00F60DE2" w14:paraId="49EA4621" w14:textId="77777777" w:rsidTr="00EE4770">
        <w:tc>
          <w:tcPr>
            <w:tcW w:w="3955" w:type="dxa"/>
          </w:tcPr>
          <w:p w14:paraId="688DFC59" w14:textId="77777777" w:rsidR="00EE4770" w:rsidRPr="00F60DE2" w:rsidRDefault="00EE4770" w:rsidP="00407873">
            <w:pPr>
              <w:rPr>
                <w:rFonts w:cstheme="minorHAnsi"/>
              </w:rPr>
            </w:pPr>
            <w:r w:rsidRPr="00F60DE2">
              <w:rPr>
                <w:rFonts w:cstheme="minorHAnsi"/>
              </w:rPr>
              <w:t xml:space="preserve">Sponsor communications – business (extensions, revisions, </w:t>
            </w:r>
            <w:proofErr w:type="spellStart"/>
            <w:r w:rsidRPr="00F60DE2">
              <w:rPr>
                <w:rFonts w:cstheme="minorHAnsi"/>
              </w:rPr>
              <w:t>etc</w:t>
            </w:r>
            <w:proofErr w:type="spellEnd"/>
            <w:r w:rsidRPr="00F60DE2">
              <w:rPr>
                <w:rFonts w:cstheme="minorHAnsi"/>
              </w:rPr>
              <w:t>)</w:t>
            </w:r>
          </w:p>
        </w:tc>
        <w:tc>
          <w:tcPr>
            <w:tcW w:w="810" w:type="dxa"/>
          </w:tcPr>
          <w:p w14:paraId="2A16CEC1" w14:textId="77777777" w:rsidR="00EE4770" w:rsidRPr="00F60DE2" w:rsidRDefault="00EE4770" w:rsidP="00407873">
            <w:pPr>
              <w:jc w:val="center"/>
              <w:rPr>
                <w:rFonts w:cstheme="minorHAnsi"/>
              </w:rPr>
            </w:pPr>
            <w:r w:rsidRPr="00F60DE2">
              <w:rPr>
                <w:rFonts w:cstheme="minorHAnsi"/>
              </w:rPr>
              <w:t>X</w:t>
            </w:r>
          </w:p>
        </w:tc>
        <w:tc>
          <w:tcPr>
            <w:tcW w:w="900" w:type="dxa"/>
          </w:tcPr>
          <w:p w14:paraId="48069595" w14:textId="77777777" w:rsidR="00EE4770" w:rsidRPr="00F60DE2" w:rsidRDefault="00EE4770" w:rsidP="00407873">
            <w:pPr>
              <w:jc w:val="center"/>
              <w:rPr>
                <w:rFonts w:cstheme="minorHAnsi"/>
              </w:rPr>
            </w:pPr>
          </w:p>
        </w:tc>
        <w:tc>
          <w:tcPr>
            <w:tcW w:w="630" w:type="dxa"/>
          </w:tcPr>
          <w:p w14:paraId="3FA55C4E" w14:textId="2FB4ABCA" w:rsidR="00EE4770" w:rsidRPr="00F60DE2" w:rsidRDefault="00EE4770" w:rsidP="00CA09A6">
            <w:pPr>
              <w:jc w:val="center"/>
              <w:rPr>
                <w:rFonts w:cstheme="minorHAnsi"/>
              </w:rPr>
            </w:pPr>
          </w:p>
        </w:tc>
        <w:tc>
          <w:tcPr>
            <w:tcW w:w="630" w:type="dxa"/>
          </w:tcPr>
          <w:p w14:paraId="1F78CCBD" w14:textId="412F4378" w:rsidR="00EE4770" w:rsidRPr="00F60DE2" w:rsidRDefault="00EE4770" w:rsidP="00407873">
            <w:pPr>
              <w:jc w:val="center"/>
              <w:rPr>
                <w:rFonts w:cstheme="minorHAnsi"/>
              </w:rPr>
            </w:pPr>
            <w:r>
              <w:rPr>
                <w:rFonts w:cstheme="minorHAnsi"/>
              </w:rPr>
              <w:t>X</w:t>
            </w:r>
          </w:p>
        </w:tc>
        <w:tc>
          <w:tcPr>
            <w:tcW w:w="900" w:type="dxa"/>
          </w:tcPr>
          <w:p w14:paraId="1446B638" w14:textId="77777777" w:rsidR="00EE4770" w:rsidRPr="00F60DE2" w:rsidRDefault="00EE4770" w:rsidP="00407873">
            <w:pPr>
              <w:jc w:val="center"/>
              <w:rPr>
                <w:rFonts w:cstheme="minorHAnsi"/>
              </w:rPr>
            </w:pPr>
          </w:p>
        </w:tc>
        <w:tc>
          <w:tcPr>
            <w:tcW w:w="900" w:type="dxa"/>
          </w:tcPr>
          <w:p w14:paraId="45D2FABF" w14:textId="27737B1C" w:rsidR="00EE4770" w:rsidRPr="00F60DE2" w:rsidRDefault="00EE4770" w:rsidP="00407873">
            <w:pPr>
              <w:jc w:val="center"/>
              <w:rPr>
                <w:rFonts w:cstheme="minorHAnsi"/>
              </w:rPr>
            </w:pPr>
          </w:p>
        </w:tc>
      </w:tr>
      <w:tr w:rsidR="00EE4770" w:rsidRPr="00F60DE2" w14:paraId="5C72768E" w14:textId="77777777" w:rsidTr="00EE4770">
        <w:tc>
          <w:tcPr>
            <w:tcW w:w="3955" w:type="dxa"/>
          </w:tcPr>
          <w:p w14:paraId="3B914A89" w14:textId="77777777" w:rsidR="00EE4770" w:rsidRPr="00F60DE2" w:rsidRDefault="00EE4770" w:rsidP="00407873">
            <w:pPr>
              <w:rPr>
                <w:rFonts w:cstheme="minorHAnsi"/>
              </w:rPr>
            </w:pPr>
            <w:r w:rsidRPr="00F60DE2">
              <w:rPr>
                <w:rFonts w:cstheme="minorHAnsi"/>
              </w:rPr>
              <w:t>Subaward initiation</w:t>
            </w:r>
          </w:p>
        </w:tc>
        <w:tc>
          <w:tcPr>
            <w:tcW w:w="810" w:type="dxa"/>
          </w:tcPr>
          <w:p w14:paraId="4FE54ED9" w14:textId="77777777" w:rsidR="00EE4770" w:rsidRPr="00F60DE2" w:rsidRDefault="00EE4770" w:rsidP="00407873">
            <w:pPr>
              <w:jc w:val="center"/>
              <w:rPr>
                <w:rFonts w:cstheme="minorHAnsi"/>
              </w:rPr>
            </w:pPr>
          </w:p>
        </w:tc>
        <w:tc>
          <w:tcPr>
            <w:tcW w:w="900" w:type="dxa"/>
          </w:tcPr>
          <w:p w14:paraId="2B0EB5F2" w14:textId="6563DBA3" w:rsidR="00EE4770" w:rsidRPr="00F60DE2" w:rsidRDefault="00EE4770" w:rsidP="00407873">
            <w:pPr>
              <w:jc w:val="center"/>
              <w:rPr>
                <w:rFonts w:cstheme="minorHAnsi"/>
              </w:rPr>
            </w:pPr>
          </w:p>
        </w:tc>
        <w:tc>
          <w:tcPr>
            <w:tcW w:w="630" w:type="dxa"/>
          </w:tcPr>
          <w:p w14:paraId="6E66D9F5" w14:textId="42EDE7AA" w:rsidR="00EE4770" w:rsidRPr="00F60DE2" w:rsidRDefault="001C6E83" w:rsidP="00407873">
            <w:pPr>
              <w:jc w:val="center"/>
              <w:rPr>
                <w:rFonts w:cstheme="minorHAnsi"/>
              </w:rPr>
            </w:pPr>
            <w:r>
              <w:rPr>
                <w:rFonts w:cstheme="minorHAnsi"/>
              </w:rPr>
              <w:t>X</w:t>
            </w:r>
          </w:p>
        </w:tc>
        <w:tc>
          <w:tcPr>
            <w:tcW w:w="630" w:type="dxa"/>
          </w:tcPr>
          <w:p w14:paraId="28680D61" w14:textId="77777777" w:rsidR="00EE4770" w:rsidRPr="00F60DE2" w:rsidRDefault="00EE4770" w:rsidP="00407873">
            <w:pPr>
              <w:jc w:val="center"/>
              <w:rPr>
                <w:rFonts w:cstheme="minorHAnsi"/>
              </w:rPr>
            </w:pPr>
          </w:p>
        </w:tc>
        <w:tc>
          <w:tcPr>
            <w:tcW w:w="900" w:type="dxa"/>
          </w:tcPr>
          <w:p w14:paraId="7E112039" w14:textId="77777777" w:rsidR="00EE4770" w:rsidRPr="00F60DE2" w:rsidRDefault="00EE4770" w:rsidP="00407873">
            <w:pPr>
              <w:jc w:val="center"/>
              <w:rPr>
                <w:rFonts w:cstheme="minorHAnsi"/>
              </w:rPr>
            </w:pPr>
          </w:p>
        </w:tc>
        <w:tc>
          <w:tcPr>
            <w:tcW w:w="900" w:type="dxa"/>
          </w:tcPr>
          <w:p w14:paraId="7AC46C0F" w14:textId="77C93C09" w:rsidR="00EE4770" w:rsidRPr="00F60DE2" w:rsidRDefault="00EE4770" w:rsidP="00407873">
            <w:pPr>
              <w:jc w:val="center"/>
              <w:rPr>
                <w:rFonts w:cstheme="minorHAnsi"/>
              </w:rPr>
            </w:pPr>
          </w:p>
        </w:tc>
      </w:tr>
      <w:tr w:rsidR="00EE4770" w:rsidRPr="00F60DE2" w14:paraId="201F03F6" w14:textId="77777777" w:rsidTr="00EE4770">
        <w:tc>
          <w:tcPr>
            <w:tcW w:w="3955" w:type="dxa"/>
          </w:tcPr>
          <w:p w14:paraId="2E3B1036" w14:textId="77777777" w:rsidR="00EE4770" w:rsidRPr="00F60DE2" w:rsidRDefault="00EE4770" w:rsidP="00407873">
            <w:pPr>
              <w:rPr>
                <w:rFonts w:cstheme="minorHAnsi"/>
              </w:rPr>
            </w:pPr>
            <w:r w:rsidRPr="00F60DE2">
              <w:rPr>
                <w:rFonts w:cstheme="minorHAnsi"/>
              </w:rPr>
              <w:t>Subaward payment</w:t>
            </w:r>
          </w:p>
        </w:tc>
        <w:tc>
          <w:tcPr>
            <w:tcW w:w="810" w:type="dxa"/>
          </w:tcPr>
          <w:p w14:paraId="2AE9AD4D" w14:textId="77777777" w:rsidR="00EE4770" w:rsidRPr="00F60DE2" w:rsidRDefault="00EE4770" w:rsidP="00407873">
            <w:pPr>
              <w:jc w:val="center"/>
              <w:rPr>
                <w:rFonts w:cstheme="minorHAnsi"/>
              </w:rPr>
            </w:pPr>
            <w:r w:rsidRPr="00F60DE2">
              <w:rPr>
                <w:rFonts w:cstheme="minorHAnsi"/>
              </w:rPr>
              <w:t>X</w:t>
            </w:r>
          </w:p>
        </w:tc>
        <w:tc>
          <w:tcPr>
            <w:tcW w:w="900" w:type="dxa"/>
          </w:tcPr>
          <w:p w14:paraId="61AA39F6" w14:textId="713D2B20" w:rsidR="00EE4770" w:rsidRPr="00F60DE2" w:rsidRDefault="003B5533" w:rsidP="00407873">
            <w:pPr>
              <w:jc w:val="center"/>
              <w:rPr>
                <w:rFonts w:cstheme="minorHAnsi"/>
              </w:rPr>
            </w:pPr>
            <w:r>
              <w:rPr>
                <w:rFonts w:cstheme="minorHAnsi"/>
              </w:rPr>
              <w:t>X</w:t>
            </w:r>
          </w:p>
        </w:tc>
        <w:tc>
          <w:tcPr>
            <w:tcW w:w="630" w:type="dxa"/>
          </w:tcPr>
          <w:p w14:paraId="5A7E8E26" w14:textId="2B01F52C" w:rsidR="00EE4770" w:rsidRPr="00F60DE2" w:rsidRDefault="00EE4770" w:rsidP="00407873">
            <w:pPr>
              <w:jc w:val="center"/>
              <w:rPr>
                <w:rFonts w:cstheme="minorHAnsi"/>
              </w:rPr>
            </w:pPr>
          </w:p>
        </w:tc>
        <w:tc>
          <w:tcPr>
            <w:tcW w:w="630" w:type="dxa"/>
          </w:tcPr>
          <w:p w14:paraId="411752EC" w14:textId="77777777" w:rsidR="00EE4770" w:rsidRPr="00F60DE2" w:rsidRDefault="00EE4770" w:rsidP="00407873">
            <w:pPr>
              <w:jc w:val="center"/>
              <w:rPr>
                <w:rFonts w:cstheme="minorHAnsi"/>
              </w:rPr>
            </w:pPr>
          </w:p>
        </w:tc>
        <w:tc>
          <w:tcPr>
            <w:tcW w:w="900" w:type="dxa"/>
          </w:tcPr>
          <w:p w14:paraId="24FE397B" w14:textId="77777777" w:rsidR="00EE4770" w:rsidRPr="00F60DE2" w:rsidRDefault="00EE4770" w:rsidP="00407873">
            <w:pPr>
              <w:jc w:val="center"/>
              <w:rPr>
                <w:rFonts w:cstheme="minorHAnsi"/>
              </w:rPr>
            </w:pPr>
          </w:p>
        </w:tc>
        <w:tc>
          <w:tcPr>
            <w:tcW w:w="900" w:type="dxa"/>
          </w:tcPr>
          <w:p w14:paraId="44202457" w14:textId="720E2DC1" w:rsidR="00EE4770" w:rsidRPr="00F60DE2" w:rsidRDefault="00EE4770" w:rsidP="00407873">
            <w:pPr>
              <w:jc w:val="center"/>
              <w:rPr>
                <w:rFonts w:cstheme="minorHAnsi"/>
              </w:rPr>
            </w:pPr>
          </w:p>
        </w:tc>
      </w:tr>
    </w:tbl>
    <w:p w14:paraId="1DC55874" w14:textId="77777777" w:rsidR="00D32997" w:rsidRDefault="00D32997" w:rsidP="00773324">
      <w:pPr>
        <w:rPr>
          <w:color w:val="C00000"/>
        </w:rPr>
      </w:pPr>
    </w:p>
    <w:tbl>
      <w:tblPr>
        <w:tblStyle w:val="TableGrid"/>
        <w:tblW w:w="8725" w:type="dxa"/>
        <w:tblLayout w:type="fixed"/>
        <w:tblLook w:val="04A0" w:firstRow="1" w:lastRow="0" w:firstColumn="1" w:lastColumn="0" w:noHBand="0" w:noVBand="1"/>
      </w:tblPr>
      <w:tblGrid>
        <w:gridCol w:w="3955"/>
        <w:gridCol w:w="810"/>
        <w:gridCol w:w="900"/>
        <w:gridCol w:w="630"/>
        <w:gridCol w:w="630"/>
        <w:gridCol w:w="900"/>
        <w:gridCol w:w="900"/>
      </w:tblGrid>
      <w:tr w:rsidR="00640724" w:rsidRPr="00F60DE2" w14:paraId="60B547DA" w14:textId="77777777" w:rsidTr="00640724">
        <w:tc>
          <w:tcPr>
            <w:tcW w:w="3955" w:type="dxa"/>
          </w:tcPr>
          <w:p w14:paraId="513BE4B3" w14:textId="583CFDCC" w:rsidR="00640724" w:rsidRPr="00F60DE2" w:rsidRDefault="00640724" w:rsidP="00E42420">
            <w:pPr>
              <w:rPr>
                <w:rFonts w:cstheme="minorHAnsi"/>
                <w:b/>
              </w:rPr>
            </w:pPr>
            <w:r w:rsidRPr="00F60DE2">
              <w:rPr>
                <w:rFonts w:cstheme="minorHAnsi"/>
                <w:b/>
              </w:rPr>
              <w:t>Task</w:t>
            </w:r>
            <w:r>
              <w:rPr>
                <w:rFonts w:cstheme="minorHAnsi"/>
                <w:b/>
              </w:rPr>
              <w:t xml:space="preserve"> – Closeout</w:t>
            </w:r>
          </w:p>
        </w:tc>
        <w:tc>
          <w:tcPr>
            <w:tcW w:w="810" w:type="dxa"/>
          </w:tcPr>
          <w:p w14:paraId="01C188AA" w14:textId="77777777" w:rsidR="00640724" w:rsidRPr="00F60DE2" w:rsidRDefault="00640724" w:rsidP="00E42420">
            <w:pPr>
              <w:jc w:val="center"/>
              <w:rPr>
                <w:rFonts w:cstheme="minorHAnsi"/>
                <w:b/>
              </w:rPr>
            </w:pPr>
            <w:r>
              <w:rPr>
                <w:rFonts w:cstheme="minorHAnsi"/>
                <w:b/>
              </w:rPr>
              <w:t>PI</w:t>
            </w:r>
          </w:p>
        </w:tc>
        <w:tc>
          <w:tcPr>
            <w:tcW w:w="900" w:type="dxa"/>
          </w:tcPr>
          <w:p w14:paraId="78A488DE" w14:textId="5E3D74BE" w:rsidR="00640724" w:rsidRPr="00F60DE2" w:rsidRDefault="001C6E83" w:rsidP="00E42420">
            <w:pPr>
              <w:jc w:val="center"/>
              <w:rPr>
                <w:rFonts w:cstheme="minorHAnsi"/>
                <w:b/>
              </w:rPr>
            </w:pPr>
            <w:r>
              <w:rPr>
                <w:rFonts w:cstheme="minorHAnsi"/>
                <w:b/>
              </w:rPr>
              <w:t>School</w:t>
            </w:r>
          </w:p>
        </w:tc>
        <w:tc>
          <w:tcPr>
            <w:tcW w:w="630" w:type="dxa"/>
          </w:tcPr>
          <w:p w14:paraId="5B23A5CF" w14:textId="1D513DFB" w:rsidR="00640724" w:rsidRPr="00F60DE2" w:rsidRDefault="00640724" w:rsidP="00E42420">
            <w:pPr>
              <w:jc w:val="center"/>
              <w:rPr>
                <w:rFonts w:cstheme="minorHAnsi"/>
                <w:b/>
              </w:rPr>
            </w:pPr>
            <w:r>
              <w:rPr>
                <w:rFonts w:cstheme="minorHAnsi"/>
                <w:b/>
              </w:rPr>
              <w:t>O</w:t>
            </w:r>
            <w:r w:rsidR="00C207AD">
              <w:rPr>
                <w:rFonts w:cstheme="minorHAnsi"/>
                <w:b/>
              </w:rPr>
              <w:t>S</w:t>
            </w:r>
            <w:r>
              <w:rPr>
                <w:rFonts w:cstheme="minorHAnsi"/>
                <w:b/>
              </w:rPr>
              <w:t>R</w:t>
            </w:r>
          </w:p>
        </w:tc>
        <w:tc>
          <w:tcPr>
            <w:tcW w:w="630" w:type="dxa"/>
          </w:tcPr>
          <w:p w14:paraId="019CDC08" w14:textId="77777777" w:rsidR="00640724" w:rsidRPr="00F60DE2" w:rsidRDefault="00640724" w:rsidP="00E42420">
            <w:pPr>
              <w:jc w:val="center"/>
              <w:rPr>
                <w:rFonts w:cstheme="minorHAnsi"/>
                <w:b/>
              </w:rPr>
            </w:pPr>
            <w:r>
              <w:rPr>
                <w:rFonts w:cstheme="minorHAnsi"/>
                <w:b/>
              </w:rPr>
              <w:t>OSP</w:t>
            </w:r>
          </w:p>
        </w:tc>
        <w:tc>
          <w:tcPr>
            <w:tcW w:w="900" w:type="dxa"/>
          </w:tcPr>
          <w:p w14:paraId="79B1CC9C" w14:textId="77777777" w:rsidR="00640724" w:rsidRDefault="00640724" w:rsidP="00E42420">
            <w:pPr>
              <w:jc w:val="center"/>
              <w:rPr>
                <w:rFonts w:cstheme="minorHAnsi"/>
                <w:b/>
              </w:rPr>
            </w:pPr>
            <w:r>
              <w:rPr>
                <w:rFonts w:cstheme="minorHAnsi"/>
                <w:b/>
              </w:rPr>
              <w:t>FAS</w:t>
            </w:r>
          </w:p>
        </w:tc>
        <w:tc>
          <w:tcPr>
            <w:tcW w:w="900" w:type="dxa"/>
          </w:tcPr>
          <w:p w14:paraId="3503753C" w14:textId="77777777" w:rsidR="00640724" w:rsidRPr="00F60DE2" w:rsidRDefault="00640724" w:rsidP="00E42420">
            <w:pPr>
              <w:jc w:val="center"/>
              <w:rPr>
                <w:rFonts w:cstheme="minorHAnsi"/>
                <w:b/>
              </w:rPr>
            </w:pPr>
            <w:r>
              <w:rPr>
                <w:rFonts w:cstheme="minorHAnsi"/>
                <w:b/>
              </w:rPr>
              <w:t>GCA</w:t>
            </w:r>
          </w:p>
        </w:tc>
      </w:tr>
      <w:tr w:rsidR="00640724" w:rsidRPr="00F60DE2" w14:paraId="2D878698" w14:textId="77777777" w:rsidTr="00E42420">
        <w:tc>
          <w:tcPr>
            <w:tcW w:w="3955" w:type="dxa"/>
          </w:tcPr>
          <w:p w14:paraId="6B9C5F43" w14:textId="77777777" w:rsidR="00640724" w:rsidRPr="00F60DE2" w:rsidRDefault="00640724" w:rsidP="00E42420">
            <w:pPr>
              <w:rPr>
                <w:rFonts w:cstheme="minorHAnsi"/>
              </w:rPr>
            </w:pPr>
            <w:r w:rsidRPr="00F60DE2">
              <w:rPr>
                <w:rFonts w:cstheme="minorHAnsi"/>
              </w:rPr>
              <w:t>Reporting (technical)</w:t>
            </w:r>
          </w:p>
        </w:tc>
        <w:tc>
          <w:tcPr>
            <w:tcW w:w="810" w:type="dxa"/>
          </w:tcPr>
          <w:p w14:paraId="68FF88AB" w14:textId="77777777" w:rsidR="00640724" w:rsidRPr="00F60DE2" w:rsidRDefault="00640724" w:rsidP="00E42420">
            <w:pPr>
              <w:jc w:val="center"/>
              <w:rPr>
                <w:rFonts w:cstheme="minorHAnsi"/>
              </w:rPr>
            </w:pPr>
            <w:r w:rsidRPr="00F60DE2">
              <w:rPr>
                <w:rFonts w:cstheme="minorHAnsi"/>
              </w:rPr>
              <w:t>X</w:t>
            </w:r>
          </w:p>
        </w:tc>
        <w:tc>
          <w:tcPr>
            <w:tcW w:w="900" w:type="dxa"/>
          </w:tcPr>
          <w:p w14:paraId="2E2B07BA" w14:textId="77777777" w:rsidR="00640724" w:rsidRPr="00F60DE2" w:rsidRDefault="00640724" w:rsidP="00E42420">
            <w:pPr>
              <w:jc w:val="center"/>
              <w:rPr>
                <w:rFonts w:cstheme="minorHAnsi"/>
              </w:rPr>
            </w:pPr>
          </w:p>
        </w:tc>
        <w:tc>
          <w:tcPr>
            <w:tcW w:w="630" w:type="dxa"/>
          </w:tcPr>
          <w:p w14:paraId="43D42ADC" w14:textId="77777777" w:rsidR="00640724" w:rsidRPr="00F60DE2" w:rsidRDefault="00640724" w:rsidP="00E42420">
            <w:pPr>
              <w:jc w:val="center"/>
              <w:rPr>
                <w:rFonts w:cstheme="minorHAnsi"/>
              </w:rPr>
            </w:pPr>
          </w:p>
        </w:tc>
        <w:tc>
          <w:tcPr>
            <w:tcW w:w="630" w:type="dxa"/>
          </w:tcPr>
          <w:p w14:paraId="3D7D0DEB" w14:textId="77777777" w:rsidR="00640724" w:rsidRPr="00F60DE2" w:rsidRDefault="00640724" w:rsidP="00E42420">
            <w:pPr>
              <w:jc w:val="center"/>
              <w:rPr>
                <w:rFonts w:cstheme="minorHAnsi"/>
              </w:rPr>
            </w:pPr>
          </w:p>
        </w:tc>
        <w:tc>
          <w:tcPr>
            <w:tcW w:w="900" w:type="dxa"/>
          </w:tcPr>
          <w:p w14:paraId="018BBB9A" w14:textId="77777777" w:rsidR="00640724" w:rsidRPr="00F60DE2" w:rsidRDefault="00640724" w:rsidP="00E42420">
            <w:pPr>
              <w:jc w:val="center"/>
              <w:rPr>
                <w:rFonts w:cstheme="minorHAnsi"/>
              </w:rPr>
            </w:pPr>
          </w:p>
        </w:tc>
        <w:tc>
          <w:tcPr>
            <w:tcW w:w="900" w:type="dxa"/>
          </w:tcPr>
          <w:p w14:paraId="68A8C481" w14:textId="77777777" w:rsidR="00640724" w:rsidRPr="00F60DE2" w:rsidRDefault="00640724" w:rsidP="00E42420">
            <w:pPr>
              <w:jc w:val="center"/>
              <w:rPr>
                <w:rFonts w:cstheme="minorHAnsi"/>
              </w:rPr>
            </w:pPr>
          </w:p>
        </w:tc>
      </w:tr>
      <w:tr w:rsidR="00640724" w:rsidRPr="00F60DE2" w14:paraId="5A3C0A05" w14:textId="77777777" w:rsidTr="00E42420">
        <w:tc>
          <w:tcPr>
            <w:tcW w:w="3955" w:type="dxa"/>
          </w:tcPr>
          <w:p w14:paraId="43435294" w14:textId="77777777" w:rsidR="00640724" w:rsidRPr="00F60DE2" w:rsidRDefault="00640724" w:rsidP="00E42420">
            <w:pPr>
              <w:rPr>
                <w:rFonts w:cstheme="minorHAnsi"/>
              </w:rPr>
            </w:pPr>
            <w:r w:rsidRPr="00F60DE2">
              <w:rPr>
                <w:rFonts w:cstheme="minorHAnsi"/>
              </w:rPr>
              <w:t>Reporting (financial – normal)</w:t>
            </w:r>
          </w:p>
        </w:tc>
        <w:tc>
          <w:tcPr>
            <w:tcW w:w="810" w:type="dxa"/>
          </w:tcPr>
          <w:p w14:paraId="08C3DE0C" w14:textId="77777777" w:rsidR="00640724" w:rsidRPr="00F60DE2" w:rsidRDefault="00640724" w:rsidP="00E42420">
            <w:pPr>
              <w:jc w:val="center"/>
              <w:rPr>
                <w:rFonts w:cstheme="minorHAnsi"/>
              </w:rPr>
            </w:pPr>
          </w:p>
        </w:tc>
        <w:tc>
          <w:tcPr>
            <w:tcW w:w="900" w:type="dxa"/>
          </w:tcPr>
          <w:p w14:paraId="5D2A2383" w14:textId="77777777" w:rsidR="00640724" w:rsidRPr="00F60DE2" w:rsidRDefault="00640724" w:rsidP="00E42420">
            <w:pPr>
              <w:jc w:val="center"/>
              <w:rPr>
                <w:rFonts w:cstheme="minorHAnsi"/>
              </w:rPr>
            </w:pPr>
          </w:p>
        </w:tc>
        <w:tc>
          <w:tcPr>
            <w:tcW w:w="630" w:type="dxa"/>
          </w:tcPr>
          <w:p w14:paraId="34A1386D" w14:textId="77777777" w:rsidR="00640724" w:rsidRPr="00F60DE2" w:rsidRDefault="00640724" w:rsidP="00E42420">
            <w:pPr>
              <w:jc w:val="center"/>
              <w:rPr>
                <w:rFonts w:cstheme="minorHAnsi"/>
              </w:rPr>
            </w:pPr>
          </w:p>
        </w:tc>
        <w:tc>
          <w:tcPr>
            <w:tcW w:w="630" w:type="dxa"/>
          </w:tcPr>
          <w:p w14:paraId="27FE6D4A" w14:textId="77777777" w:rsidR="00640724" w:rsidRPr="00F60DE2" w:rsidRDefault="00640724" w:rsidP="00E42420">
            <w:pPr>
              <w:jc w:val="center"/>
              <w:rPr>
                <w:rFonts w:cstheme="minorHAnsi"/>
              </w:rPr>
            </w:pPr>
          </w:p>
        </w:tc>
        <w:tc>
          <w:tcPr>
            <w:tcW w:w="900" w:type="dxa"/>
          </w:tcPr>
          <w:p w14:paraId="66B3727E" w14:textId="77777777" w:rsidR="00640724" w:rsidRPr="00F60DE2" w:rsidRDefault="00640724" w:rsidP="00E42420">
            <w:pPr>
              <w:jc w:val="center"/>
              <w:rPr>
                <w:rFonts w:cstheme="minorHAnsi"/>
              </w:rPr>
            </w:pPr>
          </w:p>
        </w:tc>
        <w:tc>
          <w:tcPr>
            <w:tcW w:w="900" w:type="dxa"/>
          </w:tcPr>
          <w:p w14:paraId="0D3C37F9" w14:textId="77777777" w:rsidR="00640724" w:rsidRPr="00F60DE2" w:rsidRDefault="00640724" w:rsidP="00E42420">
            <w:pPr>
              <w:jc w:val="center"/>
              <w:rPr>
                <w:rFonts w:cstheme="minorHAnsi"/>
              </w:rPr>
            </w:pPr>
            <w:r w:rsidRPr="00F60DE2">
              <w:rPr>
                <w:rFonts w:cstheme="minorHAnsi"/>
              </w:rPr>
              <w:t>X</w:t>
            </w:r>
          </w:p>
        </w:tc>
      </w:tr>
      <w:tr w:rsidR="00640724" w:rsidRPr="00F60DE2" w14:paraId="76636706" w14:textId="77777777" w:rsidTr="00E42420">
        <w:tc>
          <w:tcPr>
            <w:tcW w:w="3955" w:type="dxa"/>
          </w:tcPr>
          <w:p w14:paraId="4C59555B" w14:textId="77777777" w:rsidR="00640724" w:rsidRPr="00F60DE2" w:rsidRDefault="00640724" w:rsidP="00E42420">
            <w:pPr>
              <w:rPr>
                <w:rFonts w:cstheme="minorHAnsi"/>
              </w:rPr>
            </w:pPr>
            <w:r w:rsidRPr="00F60DE2">
              <w:rPr>
                <w:rFonts w:cstheme="minorHAnsi"/>
              </w:rPr>
              <w:t>Reporting (financial – extended)</w:t>
            </w:r>
          </w:p>
        </w:tc>
        <w:tc>
          <w:tcPr>
            <w:tcW w:w="810" w:type="dxa"/>
          </w:tcPr>
          <w:p w14:paraId="1A2C6159" w14:textId="77777777" w:rsidR="00640724" w:rsidRPr="00F60DE2" w:rsidRDefault="00640724" w:rsidP="00E42420">
            <w:pPr>
              <w:jc w:val="center"/>
              <w:rPr>
                <w:rFonts w:cstheme="minorHAnsi"/>
              </w:rPr>
            </w:pPr>
          </w:p>
        </w:tc>
        <w:tc>
          <w:tcPr>
            <w:tcW w:w="900" w:type="dxa"/>
          </w:tcPr>
          <w:p w14:paraId="339F4C47" w14:textId="10A4F987" w:rsidR="00640724" w:rsidRPr="00F60DE2" w:rsidRDefault="00640724" w:rsidP="00E42420">
            <w:pPr>
              <w:jc w:val="center"/>
              <w:rPr>
                <w:rFonts w:cstheme="minorHAnsi"/>
              </w:rPr>
            </w:pPr>
          </w:p>
        </w:tc>
        <w:tc>
          <w:tcPr>
            <w:tcW w:w="630" w:type="dxa"/>
          </w:tcPr>
          <w:p w14:paraId="013E1B6F" w14:textId="240565D8" w:rsidR="00640724" w:rsidRPr="00F60DE2" w:rsidRDefault="001C6E83" w:rsidP="00E42420">
            <w:pPr>
              <w:jc w:val="center"/>
              <w:rPr>
                <w:rFonts w:cstheme="minorHAnsi"/>
              </w:rPr>
            </w:pPr>
            <w:r>
              <w:rPr>
                <w:rFonts w:cstheme="minorHAnsi"/>
              </w:rPr>
              <w:t>X</w:t>
            </w:r>
          </w:p>
        </w:tc>
        <w:tc>
          <w:tcPr>
            <w:tcW w:w="630" w:type="dxa"/>
          </w:tcPr>
          <w:p w14:paraId="46AF2A6B" w14:textId="77777777" w:rsidR="00640724" w:rsidRPr="00F60DE2" w:rsidRDefault="00640724" w:rsidP="00E42420">
            <w:pPr>
              <w:jc w:val="center"/>
              <w:rPr>
                <w:rFonts w:cstheme="minorHAnsi"/>
              </w:rPr>
            </w:pPr>
          </w:p>
        </w:tc>
        <w:tc>
          <w:tcPr>
            <w:tcW w:w="900" w:type="dxa"/>
          </w:tcPr>
          <w:p w14:paraId="48FB3472" w14:textId="77777777" w:rsidR="00640724" w:rsidRPr="00F60DE2" w:rsidRDefault="00640724" w:rsidP="00E42420">
            <w:pPr>
              <w:jc w:val="center"/>
              <w:rPr>
                <w:rFonts w:cstheme="minorHAnsi"/>
              </w:rPr>
            </w:pPr>
          </w:p>
        </w:tc>
        <w:tc>
          <w:tcPr>
            <w:tcW w:w="900" w:type="dxa"/>
          </w:tcPr>
          <w:p w14:paraId="6817DC18" w14:textId="77777777" w:rsidR="00640724" w:rsidRPr="00F60DE2" w:rsidRDefault="00640724" w:rsidP="00E42420">
            <w:pPr>
              <w:jc w:val="center"/>
              <w:rPr>
                <w:rFonts w:cstheme="minorHAnsi"/>
              </w:rPr>
            </w:pPr>
            <w:r w:rsidRPr="00F60DE2">
              <w:rPr>
                <w:rFonts w:cstheme="minorHAnsi"/>
              </w:rPr>
              <w:t>X</w:t>
            </w:r>
          </w:p>
        </w:tc>
      </w:tr>
      <w:tr w:rsidR="00640724" w:rsidRPr="00F60DE2" w14:paraId="2721F38A" w14:textId="77777777" w:rsidTr="00E42420">
        <w:tc>
          <w:tcPr>
            <w:tcW w:w="3955" w:type="dxa"/>
          </w:tcPr>
          <w:p w14:paraId="5E743701" w14:textId="77777777" w:rsidR="00640724" w:rsidRPr="00F60DE2" w:rsidRDefault="00640724" w:rsidP="00E42420">
            <w:pPr>
              <w:rPr>
                <w:rFonts w:cstheme="minorHAnsi"/>
              </w:rPr>
            </w:pPr>
            <w:r w:rsidRPr="00F60DE2">
              <w:rPr>
                <w:rFonts w:cstheme="minorHAnsi"/>
              </w:rPr>
              <w:t>Sponsor communications – technical</w:t>
            </w:r>
          </w:p>
        </w:tc>
        <w:tc>
          <w:tcPr>
            <w:tcW w:w="810" w:type="dxa"/>
          </w:tcPr>
          <w:p w14:paraId="2B6F1BDF" w14:textId="77777777" w:rsidR="00640724" w:rsidRPr="00F60DE2" w:rsidRDefault="00640724" w:rsidP="00E42420">
            <w:pPr>
              <w:jc w:val="center"/>
              <w:rPr>
                <w:rFonts w:cstheme="minorHAnsi"/>
              </w:rPr>
            </w:pPr>
            <w:r w:rsidRPr="00F60DE2">
              <w:rPr>
                <w:rFonts w:cstheme="minorHAnsi"/>
              </w:rPr>
              <w:t>X</w:t>
            </w:r>
          </w:p>
        </w:tc>
        <w:tc>
          <w:tcPr>
            <w:tcW w:w="900" w:type="dxa"/>
          </w:tcPr>
          <w:p w14:paraId="608D132D" w14:textId="77777777" w:rsidR="00640724" w:rsidRPr="00F60DE2" w:rsidRDefault="00640724" w:rsidP="00E42420">
            <w:pPr>
              <w:jc w:val="center"/>
              <w:rPr>
                <w:rFonts w:cstheme="minorHAnsi"/>
              </w:rPr>
            </w:pPr>
          </w:p>
        </w:tc>
        <w:tc>
          <w:tcPr>
            <w:tcW w:w="630" w:type="dxa"/>
          </w:tcPr>
          <w:p w14:paraId="1F258509" w14:textId="77777777" w:rsidR="00640724" w:rsidRPr="00F60DE2" w:rsidRDefault="00640724" w:rsidP="00E42420">
            <w:pPr>
              <w:jc w:val="center"/>
              <w:rPr>
                <w:rFonts w:cstheme="minorHAnsi"/>
              </w:rPr>
            </w:pPr>
          </w:p>
        </w:tc>
        <w:tc>
          <w:tcPr>
            <w:tcW w:w="630" w:type="dxa"/>
          </w:tcPr>
          <w:p w14:paraId="7D6D5C05" w14:textId="77777777" w:rsidR="00640724" w:rsidRPr="00F60DE2" w:rsidRDefault="00640724" w:rsidP="00E42420">
            <w:pPr>
              <w:jc w:val="center"/>
              <w:rPr>
                <w:rFonts w:cstheme="minorHAnsi"/>
              </w:rPr>
            </w:pPr>
          </w:p>
        </w:tc>
        <w:tc>
          <w:tcPr>
            <w:tcW w:w="900" w:type="dxa"/>
          </w:tcPr>
          <w:p w14:paraId="67701D08" w14:textId="77777777" w:rsidR="00640724" w:rsidRPr="00F60DE2" w:rsidRDefault="00640724" w:rsidP="00E42420">
            <w:pPr>
              <w:jc w:val="center"/>
              <w:rPr>
                <w:rFonts w:cstheme="minorHAnsi"/>
              </w:rPr>
            </w:pPr>
          </w:p>
        </w:tc>
        <w:tc>
          <w:tcPr>
            <w:tcW w:w="900" w:type="dxa"/>
          </w:tcPr>
          <w:p w14:paraId="5316A76D" w14:textId="77777777" w:rsidR="00640724" w:rsidRPr="00F60DE2" w:rsidRDefault="00640724" w:rsidP="00E42420">
            <w:pPr>
              <w:jc w:val="center"/>
              <w:rPr>
                <w:rFonts w:cstheme="minorHAnsi"/>
              </w:rPr>
            </w:pPr>
          </w:p>
        </w:tc>
      </w:tr>
      <w:tr w:rsidR="00640724" w:rsidRPr="00F60DE2" w14:paraId="7D245B22" w14:textId="77777777" w:rsidTr="00E42420">
        <w:tc>
          <w:tcPr>
            <w:tcW w:w="3955" w:type="dxa"/>
          </w:tcPr>
          <w:p w14:paraId="5C88C109" w14:textId="77777777" w:rsidR="00640724" w:rsidRPr="00F60DE2" w:rsidRDefault="00640724" w:rsidP="00E42420">
            <w:pPr>
              <w:rPr>
                <w:rFonts w:cstheme="minorHAnsi"/>
              </w:rPr>
            </w:pPr>
            <w:r w:rsidRPr="00F60DE2">
              <w:rPr>
                <w:rFonts w:cstheme="minorHAnsi"/>
              </w:rPr>
              <w:t xml:space="preserve">Sponsor communications – business (extensions, revisions, </w:t>
            </w:r>
            <w:proofErr w:type="spellStart"/>
            <w:r w:rsidRPr="00F60DE2">
              <w:rPr>
                <w:rFonts w:cstheme="minorHAnsi"/>
              </w:rPr>
              <w:t>etc</w:t>
            </w:r>
            <w:proofErr w:type="spellEnd"/>
            <w:r w:rsidRPr="00F60DE2">
              <w:rPr>
                <w:rFonts w:cstheme="minorHAnsi"/>
              </w:rPr>
              <w:t>)</w:t>
            </w:r>
          </w:p>
        </w:tc>
        <w:tc>
          <w:tcPr>
            <w:tcW w:w="810" w:type="dxa"/>
          </w:tcPr>
          <w:p w14:paraId="05625030" w14:textId="77777777" w:rsidR="00640724" w:rsidRPr="00F60DE2" w:rsidRDefault="00640724" w:rsidP="00E42420">
            <w:pPr>
              <w:jc w:val="center"/>
              <w:rPr>
                <w:rFonts w:cstheme="minorHAnsi"/>
              </w:rPr>
            </w:pPr>
            <w:r w:rsidRPr="00F60DE2">
              <w:rPr>
                <w:rFonts w:cstheme="minorHAnsi"/>
              </w:rPr>
              <w:t>X</w:t>
            </w:r>
          </w:p>
        </w:tc>
        <w:tc>
          <w:tcPr>
            <w:tcW w:w="900" w:type="dxa"/>
          </w:tcPr>
          <w:p w14:paraId="27AAF3B7" w14:textId="77777777" w:rsidR="00640724" w:rsidRPr="00F60DE2" w:rsidRDefault="00640724" w:rsidP="00E42420">
            <w:pPr>
              <w:jc w:val="center"/>
              <w:rPr>
                <w:rFonts w:cstheme="minorHAnsi"/>
              </w:rPr>
            </w:pPr>
          </w:p>
        </w:tc>
        <w:tc>
          <w:tcPr>
            <w:tcW w:w="630" w:type="dxa"/>
          </w:tcPr>
          <w:p w14:paraId="645488BF" w14:textId="77777777" w:rsidR="00640724" w:rsidRPr="00F60DE2" w:rsidRDefault="00640724" w:rsidP="00E42420">
            <w:pPr>
              <w:jc w:val="center"/>
              <w:rPr>
                <w:rFonts w:cstheme="minorHAnsi"/>
              </w:rPr>
            </w:pPr>
          </w:p>
        </w:tc>
        <w:tc>
          <w:tcPr>
            <w:tcW w:w="630" w:type="dxa"/>
          </w:tcPr>
          <w:p w14:paraId="1A0EFC5A" w14:textId="77777777" w:rsidR="00640724" w:rsidRPr="00F60DE2" w:rsidRDefault="00640724" w:rsidP="00E42420">
            <w:pPr>
              <w:jc w:val="center"/>
              <w:rPr>
                <w:rFonts w:cstheme="minorHAnsi"/>
              </w:rPr>
            </w:pPr>
            <w:r>
              <w:rPr>
                <w:rFonts w:cstheme="minorHAnsi"/>
              </w:rPr>
              <w:t>X</w:t>
            </w:r>
          </w:p>
        </w:tc>
        <w:tc>
          <w:tcPr>
            <w:tcW w:w="900" w:type="dxa"/>
          </w:tcPr>
          <w:p w14:paraId="4BF3D0ED" w14:textId="77777777" w:rsidR="00640724" w:rsidRPr="00F60DE2" w:rsidRDefault="00640724" w:rsidP="00E42420">
            <w:pPr>
              <w:jc w:val="center"/>
              <w:rPr>
                <w:rFonts w:cstheme="minorHAnsi"/>
              </w:rPr>
            </w:pPr>
          </w:p>
        </w:tc>
        <w:tc>
          <w:tcPr>
            <w:tcW w:w="900" w:type="dxa"/>
          </w:tcPr>
          <w:p w14:paraId="63A2F1D5" w14:textId="77777777" w:rsidR="00640724" w:rsidRPr="00F60DE2" w:rsidRDefault="00640724" w:rsidP="00E42420">
            <w:pPr>
              <w:jc w:val="center"/>
              <w:rPr>
                <w:rFonts w:cstheme="minorHAnsi"/>
              </w:rPr>
            </w:pPr>
          </w:p>
        </w:tc>
      </w:tr>
    </w:tbl>
    <w:p w14:paraId="268C3365" w14:textId="77777777" w:rsidR="00640724" w:rsidRDefault="00640724" w:rsidP="00773324">
      <w:pPr>
        <w:rPr>
          <w:color w:val="C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215"/>
      </w:tblGrid>
      <w:tr w:rsidR="00640724" w:rsidRPr="005861F7" w14:paraId="5AA62CDD" w14:textId="77777777" w:rsidTr="005861F7">
        <w:trPr>
          <w:trHeight w:val="252"/>
        </w:trPr>
        <w:tc>
          <w:tcPr>
            <w:tcW w:w="4135" w:type="dxa"/>
          </w:tcPr>
          <w:p w14:paraId="368A215D" w14:textId="6A44548B" w:rsidR="00640724" w:rsidRPr="00640724" w:rsidRDefault="00640724" w:rsidP="000B27A2">
            <w:pPr>
              <w:rPr>
                <w:b/>
                <w:color w:val="000000" w:themeColor="text1"/>
                <w:sz w:val="21"/>
                <w:szCs w:val="21"/>
              </w:rPr>
            </w:pPr>
            <w:r>
              <w:rPr>
                <w:b/>
                <w:color w:val="000000" w:themeColor="text1"/>
                <w:sz w:val="21"/>
                <w:szCs w:val="21"/>
              </w:rPr>
              <w:t>Legend</w:t>
            </w:r>
          </w:p>
        </w:tc>
        <w:tc>
          <w:tcPr>
            <w:tcW w:w="5215" w:type="dxa"/>
          </w:tcPr>
          <w:p w14:paraId="6C2ECE1D" w14:textId="77777777" w:rsidR="00640724" w:rsidRPr="005861F7" w:rsidRDefault="00640724" w:rsidP="000B27A2">
            <w:pPr>
              <w:rPr>
                <w:color w:val="000000" w:themeColor="text1"/>
                <w:sz w:val="21"/>
                <w:szCs w:val="21"/>
              </w:rPr>
            </w:pPr>
          </w:p>
        </w:tc>
      </w:tr>
      <w:tr w:rsidR="005861F7" w:rsidRPr="005861F7" w14:paraId="31FCA3AB" w14:textId="77777777" w:rsidTr="005861F7">
        <w:trPr>
          <w:trHeight w:val="252"/>
        </w:trPr>
        <w:tc>
          <w:tcPr>
            <w:tcW w:w="4135" w:type="dxa"/>
          </w:tcPr>
          <w:p w14:paraId="3269CA6E" w14:textId="142FDF54" w:rsidR="00F53B6A" w:rsidRPr="005861F7" w:rsidRDefault="001C6E83" w:rsidP="000B27A2">
            <w:pPr>
              <w:rPr>
                <w:color w:val="000000" w:themeColor="text1"/>
                <w:sz w:val="21"/>
                <w:szCs w:val="21"/>
              </w:rPr>
            </w:pPr>
            <w:r>
              <w:rPr>
                <w:color w:val="000000" w:themeColor="text1"/>
                <w:sz w:val="21"/>
                <w:szCs w:val="21"/>
              </w:rPr>
              <w:t>School</w:t>
            </w:r>
            <w:r w:rsidR="00F53B6A" w:rsidRPr="005861F7">
              <w:rPr>
                <w:color w:val="000000" w:themeColor="text1"/>
                <w:sz w:val="21"/>
                <w:szCs w:val="21"/>
              </w:rPr>
              <w:t xml:space="preserve">: UW Bothell </w:t>
            </w:r>
            <w:r>
              <w:rPr>
                <w:color w:val="000000" w:themeColor="text1"/>
                <w:sz w:val="21"/>
                <w:szCs w:val="21"/>
              </w:rPr>
              <w:t>School Administration</w:t>
            </w:r>
          </w:p>
        </w:tc>
        <w:tc>
          <w:tcPr>
            <w:tcW w:w="5215" w:type="dxa"/>
          </w:tcPr>
          <w:p w14:paraId="1F87A61F" w14:textId="7C1CB932" w:rsidR="00F53B6A" w:rsidRPr="005861F7" w:rsidRDefault="00F53B6A" w:rsidP="000B27A2">
            <w:pPr>
              <w:rPr>
                <w:color w:val="000000" w:themeColor="text1"/>
                <w:sz w:val="21"/>
                <w:szCs w:val="21"/>
              </w:rPr>
            </w:pPr>
            <w:r w:rsidRPr="005861F7">
              <w:rPr>
                <w:color w:val="000000" w:themeColor="text1"/>
                <w:sz w:val="21"/>
                <w:szCs w:val="21"/>
              </w:rPr>
              <w:t>O</w:t>
            </w:r>
            <w:r w:rsidR="00C207AD">
              <w:rPr>
                <w:color w:val="000000" w:themeColor="text1"/>
                <w:sz w:val="21"/>
                <w:szCs w:val="21"/>
              </w:rPr>
              <w:t>S</w:t>
            </w:r>
            <w:r w:rsidRPr="005861F7">
              <w:rPr>
                <w:color w:val="000000" w:themeColor="text1"/>
                <w:sz w:val="21"/>
                <w:szCs w:val="21"/>
              </w:rPr>
              <w:t>R: UW Bothell Office of</w:t>
            </w:r>
            <w:r w:rsidR="00C207AD">
              <w:rPr>
                <w:color w:val="000000" w:themeColor="text1"/>
                <w:sz w:val="21"/>
                <w:szCs w:val="21"/>
              </w:rPr>
              <w:t xml:space="preserve"> Sponsored</w:t>
            </w:r>
            <w:r w:rsidRPr="005861F7">
              <w:rPr>
                <w:color w:val="000000" w:themeColor="text1"/>
                <w:sz w:val="21"/>
                <w:szCs w:val="21"/>
              </w:rPr>
              <w:t xml:space="preserve"> Research</w:t>
            </w:r>
          </w:p>
        </w:tc>
      </w:tr>
      <w:tr w:rsidR="005861F7" w:rsidRPr="005861F7" w14:paraId="6A95D895" w14:textId="77777777" w:rsidTr="000B27A2">
        <w:tc>
          <w:tcPr>
            <w:tcW w:w="4135" w:type="dxa"/>
          </w:tcPr>
          <w:p w14:paraId="3616FF6A" w14:textId="77777777" w:rsidR="005861F7" w:rsidRPr="005861F7" w:rsidRDefault="005861F7" w:rsidP="000B27A2">
            <w:pPr>
              <w:rPr>
                <w:color w:val="000000" w:themeColor="text1"/>
                <w:sz w:val="21"/>
                <w:szCs w:val="21"/>
              </w:rPr>
            </w:pPr>
            <w:r w:rsidRPr="005861F7">
              <w:rPr>
                <w:color w:val="000000" w:themeColor="text1"/>
                <w:sz w:val="21"/>
                <w:szCs w:val="21"/>
              </w:rPr>
              <w:t>FAS: Fiscal &amp; Audit Services</w:t>
            </w:r>
          </w:p>
        </w:tc>
        <w:tc>
          <w:tcPr>
            <w:tcW w:w="5215" w:type="dxa"/>
          </w:tcPr>
          <w:p w14:paraId="2B51577B" w14:textId="68584440" w:rsidR="005861F7" w:rsidRPr="005861F7" w:rsidRDefault="005861F7" w:rsidP="000B27A2">
            <w:pPr>
              <w:rPr>
                <w:color w:val="000000" w:themeColor="text1"/>
                <w:sz w:val="21"/>
                <w:szCs w:val="21"/>
              </w:rPr>
            </w:pPr>
            <w:r w:rsidRPr="005861F7">
              <w:rPr>
                <w:color w:val="000000" w:themeColor="text1"/>
                <w:sz w:val="21"/>
                <w:szCs w:val="21"/>
              </w:rPr>
              <w:t>PI: Princip</w:t>
            </w:r>
            <w:r w:rsidR="00966A01">
              <w:rPr>
                <w:color w:val="000000" w:themeColor="text1"/>
                <w:sz w:val="21"/>
                <w:szCs w:val="21"/>
              </w:rPr>
              <w:t>al</w:t>
            </w:r>
            <w:r w:rsidRPr="005861F7">
              <w:rPr>
                <w:color w:val="000000" w:themeColor="text1"/>
                <w:sz w:val="21"/>
                <w:szCs w:val="21"/>
              </w:rPr>
              <w:t xml:space="preserve"> Investigator</w:t>
            </w:r>
          </w:p>
        </w:tc>
      </w:tr>
      <w:tr w:rsidR="005861F7" w:rsidRPr="005861F7" w14:paraId="0B090AC1" w14:textId="77777777" w:rsidTr="000B27A2">
        <w:tc>
          <w:tcPr>
            <w:tcW w:w="9350" w:type="dxa"/>
            <w:gridSpan w:val="2"/>
          </w:tcPr>
          <w:p w14:paraId="31E13E5A" w14:textId="77777777" w:rsidR="00F53B6A" w:rsidRDefault="00F53B6A" w:rsidP="000B27A2">
            <w:pPr>
              <w:rPr>
                <w:color w:val="000000" w:themeColor="text1"/>
                <w:sz w:val="21"/>
                <w:szCs w:val="21"/>
              </w:rPr>
            </w:pPr>
            <w:r w:rsidRPr="005861F7">
              <w:rPr>
                <w:color w:val="000000" w:themeColor="text1"/>
                <w:sz w:val="21"/>
                <w:szCs w:val="21"/>
              </w:rPr>
              <w:t>OSP: UW Office of Sponsored Programs (Cindy Shirley at UW Bothell)</w:t>
            </w:r>
          </w:p>
          <w:p w14:paraId="441F97A2" w14:textId="25C9E47C" w:rsidR="00B70FB4" w:rsidRPr="005861F7" w:rsidRDefault="00B70FB4" w:rsidP="000B27A2">
            <w:pPr>
              <w:rPr>
                <w:color w:val="000000" w:themeColor="text1"/>
                <w:sz w:val="21"/>
                <w:szCs w:val="21"/>
              </w:rPr>
            </w:pPr>
            <w:r>
              <w:rPr>
                <w:color w:val="000000" w:themeColor="text1"/>
                <w:sz w:val="21"/>
                <w:szCs w:val="21"/>
              </w:rPr>
              <w:t>GCA: Grant &amp; Contract Accounting</w:t>
            </w:r>
          </w:p>
        </w:tc>
      </w:tr>
    </w:tbl>
    <w:p w14:paraId="2D54F0AA" w14:textId="77777777" w:rsidR="004D1585" w:rsidRPr="00773324" w:rsidRDefault="004D1585" w:rsidP="00323FE8">
      <w:pPr>
        <w:rPr>
          <w:color w:val="000000" w:themeColor="text1"/>
        </w:rPr>
      </w:pPr>
    </w:p>
    <w:sectPr w:rsidR="004D1585" w:rsidRPr="00773324" w:rsidSect="00323FE8">
      <w:headerReference w:type="even" r:id="rId13"/>
      <w:headerReference w:type="default" r:id="rId14"/>
      <w:footerReference w:type="even" r:id="rId15"/>
      <w:footerReference w:type="default" r:id="rId16"/>
      <w:headerReference w:type="first" r:id="rId17"/>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8ACB0" w14:textId="77777777" w:rsidR="002D057E" w:rsidRDefault="002D057E" w:rsidP="00F53B6A">
      <w:r>
        <w:separator/>
      </w:r>
    </w:p>
  </w:endnote>
  <w:endnote w:type="continuationSeparator" w:id="0">
    <w:p w14:paraId="3940C96F" w14:textId="77777777" w:rsidR="002D057E" w:rsidRDefault="002D057E" w:rsidP="00F5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1023483"/>
      <w:docPartObj>
        <w:docPartGallery w:val="Page Numbers (Bottom of Page)"/>
        <w:docPartUnique/>
      </w:docPartObj>
    </w:sdtPr>
    <w:sdtEndPr>
      <w:rPr>
        <w:rStyle w:val="PageNumber"/>
      </w:rPr>
    </w:sdtEndPr>
    <w:sdtContent>
      <w:p w14:paraId="324AEEFD" w14:textId="66C98467" w:rsidR="00F40E55" w:rsidRDefault="00F40E55" w:rsidP="00595F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654C8" w14:textId="77777777" w:rsidR="00F40E55" w:rsidRDefault="00F40E55" w:rsidP="00F40E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9620110"/>
      <w:docPartObj>
        <w:docPartGallery w:val="Page Numbers (Bottom of Page)"/>
        <w:docPartUnique/>
      </w:docPartObj>
    </w:sdtPr>
    <w:sdtEndPr>
      <w:rPr>
        <w:rStyle w:val="PageNumber"/>
      </w:rPr>
    </w:sdtEndPr>
    <w:sdtContent>
      <w:p w14:paraId="0EA2DD54" w14:textId="4E52C8F7" w:rsidR="00F40E55" w:rsidRDefault="00F40E55" w:rsidP="00595F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5D4CC3" w14:textId="77777777" w:rsidR="00F40E55" w:rsidRDefault="00F40E55" w:rsidP="00F40E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55C14" w14:textId="77777777" w:rsidR="002D057E" w:rsidRDefault="002D057E" w:rsidP="00F53B6A">
      <w:r>
        <w:separator/>
      </w:r>
    </w:p>
  </w:footnote>
  <w:footnote w:type="continuationSeparator" w:id="0">
    <w:p w14:paraId="35739BA8" w14:textId="77777777" w:rsidR="002D057E" w:rsidRDefault="002D057E" w:rsidP="00F53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DE354" w14:textId="6CD5EA12" w:rsidR="007F4B79" w:rsidRDefault="007F4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E0088" w14:textId="6581A6A7" w:rsidR="00C569E9" w:rsidRDefault="00C569E9">
    <w:pPr>
      <w:pStyle w:val="Header"/>
    </w:pPr>
    <w:r>
      <w:t xml:space="preserve">UW Bothell </w:t>
    </w:r>
    <w:r w:rsidR="00855A1E">
      <w:t>Research Support Model for Faculty</w:t>
    </w:r>
    <w:r>
      <w:tab/>
    </w:r>
    <w:r>
      <w:tab/>
      <w:t>20</w:t>
    </w:r>
    <w:r w:rsidR="00C207AD">
      <w:t>20-10-10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7079F" w14:textId="70E719CE" w:rsidR="007F4B79" w:rsidRDefault="007F4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7E7"/>
    <w:multiLevelType w:val="hybridMultilevel"/>
    <w:tmpl w:val="6136D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756F"/>
    <w:multiLevelType w:val="hybridMultilevel"/>
    <w:tmpl w:val="549C4A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800F09"/>
    <w:multiLevelType w:val="hybridMultilevel"/>
    <w:tmpl w:val="FE84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3322B"/>
    <w:multiLevelType w:val="hybridMultilevel"/>
    <w:tmpl w:val="71BC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806A1"/>
    <w:multiLevelType w:val="hybridMultilevel"/>
    <w:tmpl w:val="20A26F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B1A95"/>
    <w:multiLevelType w:val="hybridMultilevel"/>
    <w:tmpl w:val="33FC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E4869"/>
    <w:multiLevelType w:val="hybridMultilevel"/>
    <w:tmpl w:val="8C144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6B11"/>
    <w:multiLevelType w:val="multilevel"/>
    <w:tmpl w:val="955ED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1969DA"/>
    <w:multiLevelType w:val="hybridMultilevel"/>
    <w:tmpl w:val="CBE48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14E67"/>
    <w:multiLevelType w:val="hybridMultilevel"/>
    <w:tmpl w:val="77FA1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C558A"/>
    <w:multiLevelType w:val="hybridMultilevel"/>
    <w:tmpl w:val="BCE09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D6018C"/>
    <w:multiLevelType w:val="hybridMultilevel"/>
    <w:tmpl w:val="2AFEE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5639C"/>
    <w:multiLevelType w:val="hybridMultilevel"/>
    <w:tmpl w:val="8468FAA0"/>
    <w:lvl w:ilvl="0" w:tplc="44A02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31120"/>
    <w:multiLevelType w:val="hybridMultilevel"/>
    <w:tmpl w:val="30A6A13C"/>
    <w:lvl w:ilvl="0" w:tplc="879AB2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9503D"/>
    <w:multiLevelType w:val="hybridMultilevel"/>
    <w:tmpl w:val="312A5E10"/>
    <w:lvl w:ilvl="0" w:tplc="1CD0A2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50154"/>
    <w:multiLevelType w:val="hybridMultilevel"/>
    <w:tmpl w:val="5D608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A3D73"/>
    <w:multiLevelType w:val="hybridMultilevel"/>
    <w:tmpl w:val="5CD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0213A"/>
    <w:multiLevelType w:val="hybridMultilevel"/>
    <w:tmpl w:val="C2801E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85E4D"/>
    <w:multiLevelType w:val="hybridMultilevel"/>
    <w:tmpl w:val="1BE46C2C"/>
    <w:lvl w:ilvl="0" w:tplc="3028E0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C610F"/>
    <w:multiLevelType w:val="hybridMultilevel"/>
    <w:tmpl w:val="6CD6CB1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4F832186"/>
    <w:multiLevelType w:val="hybridMultilevel"/>
    <w:tmpl w:val="780CD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43600"/>
    <w:multiLevelType w:val="hybridMultilevel"/>
    <w:tmpl w:val="959AD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A322D"/>
    <w:multiLevelType w:val="hybridMultilevel"/>
    <w:tmpl w:val="F590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A1C06"/>
    <w:multiLevelType w:val="hybridMultilevel"/>
    <w:tmpl w:val="5C70B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F0669"/>
    <w:multiLevelType w:val="hybridMultilevel"/>
    <w:tmpl w:val="1264F4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73053"/>
    <w:multiLevelType w:val="hybridMultilevel"/>
    <w:tmpl w:val="1A8CAE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B0191"/>
    <w:multiLevelType w:val="hybridMultilevel"/>
    <w:tmpl w:val="3D182A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517C4B"/>
    <w:multiLevelType w:val="hybridMultilevel"/>
    <w:tmpl w:val="2FBA80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E4769"/>
    <w:multiLevelType w:val="hybridMultilevel"/>
    <w:tmpl w:val="BFE2D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87558"/>
    <w:multiLevelType w:val="hybridMultilevel"/>
    <w:tmpl w:val="07021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6"/>
  </w:num>
  <w:num w:numId="3">
    <w:abstractNumId w:val="11"/>
  </w:num>
  <w:num w:numId="4">
    <w:abstractNumId w:val="24"/>
  </w:num>
  <w:num w:numId="5">
    <w:abstractNumId w:val="29"/>
  </w:num>
  <w:num w:numId="6">
    <w:abstractNumId w:val="20"/>
  </w:num>
  <w:num w:numId="7">
    <w:abstractNumId w:val="21"/>
  </w:num>
  <w:num w:numId="8">
    <w:abstractNumId w:val="0"/>
  </w:num>
  <w:num w:numId="9">
    <w:abstractNumId w:val="19"/>
  </w:num>
  <w:num w:numId="10">
    <w:abstractNumId w:val="14"/>
  </w:num>
  <w:num w:numId="11">
    <w:abstractNumId w:val="13"/>
  </w:num>
  <w:num w:numId="12">
    <w:abstractNumId w:val="28"/>
  </w:num>
  <w:num w:numId="13">
    <w:abstractNumId w:val="5"/>
  </w:num>
  <w:num w:numId="14">
    <w:abstractNumId w:val="3"/>
  </w:num>
  <w:num w:numId="15">
    <w:abstractNumId w:val="10"/>
  </w:num>
  <w:num w:numId="16">
    <w:abstractNumId w:val="6"/>
  </w:num>
  <w:num w:numId="17">
    <w:abstractNumId w:val="2"/>
  </w:num>
  <w:num w:numId="18">
    <w:abstractNumId w:val="22"/>
  </w:num>
  <w:num w:numId="19">
    <w:abstractNumId w:val="25"/>
  </w:num>
  <w:num w:numId="20">
    <w:abstractNumId w:val="7"/>
  </w:num>
  <w:num w:numId="21">
    <w:abstractNumId w:val="15"/>
  </w:num>
  <w:num w:numId="22">
    <w:abstractNumId w:val="16"/>
  </w:num>
  <w:num w:numId="23">
    <w:abstractNumId w:val="23"/>
  </w:num>
  <w:num w:numId="24">
    <w:abstractNumId w:val="1"/>
  </w:num>
  <w:num w:numId="25">
    <w:abstractNumId w:val="27"/>
  </w:num>
  <w:num w:numId="26">
    <w:abstractNumId w:val="17"/>
  </w:num>
  <w:num w:numId="27">
    <w:abstractNumId w:val="4"/>
  </w:num>
  <w:num w:numId="28">
    <w:abstractNumId w:val="9"/>
  </w:num>
  <w:num w:numId="29">
    <w:abstractNumId w:val="1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33"/>
    <w:rsid w:val="000001AC"/>
    <w:rsid w:val="000003D5"/>
    <w:rsid w:val="00013FF7"/>
    <w:rsid w:val="00057D82"/>
    <w:rsid w:val="00086BD7"/>
    <w:rsid w:val="00093EAD"/>
    <w:rsid w:val="000D2AD6"/>
    <w:rsid w:val="000E3AFF"/>
    <w:rsid w:val="0011056C"/>
    <w:rsid w:val="00131E95"/>
    <w:rsid w:val="0013476F"/>
    <w:rsid w:val="00135AFF"/>
    <w:rsid w:val="00155619"/>
    <w:rsid w:val="001876A1"/>
    <w:rsid w:val="001C6E83"/>
    <w:rsid w:val="00202013"/>
    <w:rsid w:val="00204D00"/>
    <w:rsid w:val="0021462E"/>
    <w:rsid w:val="002374EB"/>
    <w:rsid w:val="00241540"/>
    <w:rsid w:val="0024460A"/>
    <w:rsid w:val="00253555"/>
    <w:rsid w:val="002642AE"/>
    <w:rsid w:val="00275A33"/>
    <w:rsid w:val="00284FEE"/>
    <w:rsid w:val="00295341"/>
    <w:rsid w:val="002A2EAB"/>
    <w:rsid w:val="002A7016"/>
    <w:rsid w:val="002B6E69"/>
    <w:rsid w:val="002D057E"/>
    <w:rsid w:val="002D67F1"/>
    <w:rsid w:val="002D69C9"/>
    <w:rsid w:val="003103AA"/>
    <w:rsid w:val="00323FE8"/>
    <w:rsid w:val="00330A16"/>
    <w:rsid w:val="00350913"/>
    <w:rsid w:val="00361D39"/>
    <w:rsid w:val="00375497"/>
    <w:rsid w:val="003B5533"/>
    <w:rsid w:val="003B754F"/>
    <w:rsid w:val="003E285C"/>
    <w:rsid w:val="00431B67"/>
    <w:rsid w:val="004338C7"/>
    <w:rsid w:val="00434A1F"/>
    <w:rsid w:val="00444A91"/>
    <w:rsid w:val="00477B3B"/>
    <w:rsid w:val="004B2D6F"/>
    <w:rsid w:val="004C1FA0"/>
    <w:rsid w:val="004D0FF0"/>
    <w:rsid w:val="004D1585"/>
    <w:rsid w:val="004E5892"/>
    <w:rsid w:val="004F02D2"/>
    <w:rsid w:val="004F6CF5"/>
    <w:rsid w:val="00503A81"/>
    <w:rsid w:val="00510FDD"/>
    <w:rsid w:val="00537C99"/>
    <w:rsid w:val="0054160B"/>
    <w:rsid w:val="00570B9F"/>
    <w:rsid w:val="00581247"/>
    <w:rsid w:val="005861F7"/>
    <w:rsid w:val="0058748A"/>
    <w:rsid w:val="005C6E32"/>
    <w:rsid w:val="005C7903"/>
    <w:rsid w:val="005D6A89"/>
    <w:rsid w:val="0060400F"/>
    <w:rsid w:val="00621384"/>
    <w:rsid w:val="0062620E"/>
    <w:rsid w:val="006377B2"/>
    <w:rsid w:val="00640724"/>
    <w:rsid w:val="00650B3D"/>
    <w:rsid w:val="00671B04"/>
    <w:rsid w:val="00676C10"/>
    <w:rsid w:val="006955A5"/>
    <w:rsid w:val="006B6576"/>
    <w:rsid w:val="007135B8"/>
    <w:rsid w:val="00716E92"/>
    <w:rsid w:val="0073795E"/>
    <w:rsid w:val="00745D91"/>
    <w:rsid w:val="007507DF"/>
    <w:rsid w:val="00751F1F"/>
    <w:rsid w:val="0075366A"/>
    <w:rsid w:val="00755817"/>
    <w:rsid w:val="00773324"/>
    <w:rsid w:val="007826D3"/>
    <w:rsid w:val="007A57D5"/>
    <w:rsid w:val="007C080F"/>
    <w:rsid w:val="007F4B79"/>
    <w:rsid w:val="00817EED"/>
    <w:rsid w:val="00841233"/>
    <w:rsid w:val="00855A1E"/>
    <w:rsid w:val="008B38F0"/>
    <w:rsid w:val="008E21D4"/>
    <w:rsid w:val="00900598"/>
    <w:rsid w:val="0090261E"/>
    <w:rsid w:val="00905DF2"/>
    <w:rsid w:val="00925E6C"/>
    <w:rsid w:val="0094415D"/>
    <w:rsid w:val="00951D42"/>
    <w:rsid w:val="00954D4E"/>
    <w:rsid w:val="00966A01"/>
    <w:rsid w:val="00972831"/>
    <w:rsid w:val="00974D73"/>
    <w:rsid w:val="00992DBB"/>
    <w:rsid w:val="009A3410"/>
    <w:rsid w:val="009A4E35"/>
    <w:rsid w:val="009B3D98"/>
    <w:rsid w:val="009B5CAA"/>
    <w:rsid w:val="00A20C9E"/>
    <w:rsid w:val="00A37259"/>
    <w:rsid w:val="00A512C1"/>
    <w:rsid w:val="00A6169B"/>
    <w:rsid w:val="00A6539B"/>
    <w:rsid w:val="00AA44A9"/>
    <w:rsid w:val="00AB5411"/>
    <w:rsid w:val="00AD1875"/>
    <w:rsid w:val="00AE3D8C"/>
    <w:rsid w:val="00AF0A48"/>
    <w:rsid w:val="00AF5FA2"/>
    <w:rsid w:val="00B32455"/>
    <w:rsid w:val="00B53731"/>
    <w:rsid w:val="00B6468C"/>
    <w:rsid w:val="00B70FB4"/>
    <w:rsid w:val="00B765A4"/>
    <w:rsid w:val="00B76639"/>
    <w:rsid w:val="00B779AE"/>
    <w:rsid w:val="00BB6015"/>
    <w:rsid w:val="00BD742F"/>
    <w:rsid w:val="00BF0E3D"/>
    <w:rsid w:val="00C07388"/>
    <w:rsid w:val="00C207AD"/>
    <w:rsid w:val="00C52C94"/>
    <w:rsid w:val="00C569E9"/>
    <w:rsid w:val="00C70C28"/>
    <w:rsid w:val="00C75A27"/>
    <w:rsid w:val="00C8058C"/>
    <w:rsid w:val="00CA09A6"/>
    <w:rsid w:val="00CA0B5E"/>
    <w:rsid w:val="00CA0D9F"/>
    <w:rsid w:val="00CA3B7A"/>
    <w:rsid w:val="00CC04A5"/>
    <w:rsid w:val="00CC5BAD"/>
    <w:rsid w:val="00CE6F40"/>
    <w:rsid w:val="00D11917"/>
    <w:rsid w:val="00D27709"/>
    <w:rsid w:val="00D32997"/>
    <w:rsid w:val="00D56AA3"/>
    <w:rsid w:val="00D6094A"/>
    <w:rsid w:val="00D62196"/>
    <w:rsid w:val="00D66C3B"/>
    <w:rsid w:val="00D9439C"/>
    <w:rsid w:val="00DA65CD"/>
    <w:rsid w:val="00DC3A2E"/>
    <w:rsid w:val="00DC718F"/>
    <w:rsid w:val="00E12B2D"/>
    <w:rsid w:val="00E302E0"/>
    <w:rsid w:val="00E420D8"/>
    <w:rsid w:val="00E65F4C"/>
    <w:rsid w:val="00EB50DF"/>
    <w:rsid w:val="00EE4770"/>
    <w:rsid w:val="00EF1318"/>
    <w:rsid w:val="00F11629"/>
    <w:rsid w:val="00F37A23"/>
    <w:rsid w:val="00F40E55"/>
    <w:rsid w:val="00F513C9"/>
    <w:rsid w:val="00F53B6A"/>
    <w:rsid w:val="00F6281E"/>
    <w:rsid w:val="00FB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27FDF"/>
  <w15:chartTrackingRefBased/>
  <w15:docId w15:val="{D7885A61-BDB9-8F43-B552-87C2469A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F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3F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3FE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23F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B04"/>
    <w:pPr>
      <w:ind w:left="720"/>
      <w:contextualSpacing/>
    </w:pPr>
  </w:style>
  <w:style w:type="table" w:styleId="TableGrid">
    <w:name w:val="Table Grid"/>
    <w:basedOn w:val="TableNormal"/>
    <w:uiPriority w:val="39"/>
    <w:rsid w:val="0058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B6A"/>
    <w:pPr>
      <w:tabs>
        <w:tab w:val="center" w:pos="4680"/>
        <w:tab w:val="right" w:pos="9360"/>
      </w:tabs>
    </w:pPr>
  </w:style>
  <w:style w:type="character" w:customStyle="1" w:styleId="HeaderChar">
    <w:name w:val="Header Char"/>
    <w:basedOn w:val="DefaultParagraphFont"/>
    <w:link w:val="Header"/>
    <w:uiPriority w:val="99"/>
    <w:rsid w:val="00F53B6A"/>
  </w:style>
  <w:style w:type="paragraph" w:styleId="Footer">
    <w:name w:val="footer"/>
    <w:basedOn w:val="Normal"/>
    <w:link w:val="FooterChar"/>
    <w:uiPriority w:val="99"/>
    <w:unhideWhenUsed/>
    <w:rsid w:val="00F53B6A"/>
    <w:pPr>
      <w:tabs>
        <w:tab w:val="center" w:pos="4680"/>
        <w:tab w:val="right" w:pos="9360"/>
      </w:tabs>
    </w:pPr>
  </w:style>
  <w:style w:type="character" w:customStyle="1" w:styleId="FooterChar">
    <w:name w:val="Footer Char"/>
    <w:basedOn w:val="DefaultParagraphFont"/>
    <w:link w:val="Footer"/>
    <w:uiPriority w:val="99"/>
    <w:rsid w:val="00F53B6A"/>
  </w:style>
  <w:style w:type="paragraph" w:styleId="BalloonText">
    <w:name w:val="Balloon Text"/>
    <w:basedOn w:val="Normal"/>
    <w:link w:val="BalloonTextChar"/>
    <w:uiPriority w:val="99"/>
    <w:semiHidden/>
    <w:unhideWhenUsed/>
    <w:rsid w:val="00D11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917"/>
    <w:rPr>
      <w:rFonts w:ascii="Segoe UI" w:hAnsi="Segoe UI" w:cs="Segoe UI"/>
      <w:sz w:val="18"/>
      <w:szCs w:val="18"/>
    </w:rPr>
  </w:style>
  <w:style w:type="character" w:styleId="Hyperlink">
    <w:name w:val="Hyperlink"/>
    <w:basedOn w:val="DefaultParagraphFont"/>
    <w:uiPriority w:val="99"/>
    <w:unhideWhenUsed/>
    <w:rsid w:val="006955A5"/>
    <w:rPr>
      <w:color w:val="0563C1" w:themeColor="hyperlink"/>
      <w:u w:val="single"/>
    </w:rPr>
  </w:style>
  <w:style w:type="paragraph" w:customStyle="1" w:styleId="xmsolistparagraph">
    <w:name w:val="x_msolistparagraph"/>
    <w:basedOn w:val="Normal"/>
    <w:rsid w:val="006955A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B6576"/>
    <w:rPr>
      <w:color w:val="605E5C"/>
      <w:shd w:val="clear" w:color="auto" w:fill="E1DFDD"/>
    </w:rPr>
  </w:style>
  <w:style w:type="character" w:styleId="FollowedHyperlink">
    <w:name w:val="FollowedHyperlink"/>
    <w:basedOn w:val="DefaultParagraphFont"/>
    <w:uiPriority w:val="99"/>
    <w:semiHidden/>
    <w:unhideWhenUsed/>
    <w:rsid w:val="00570B9F"/>
    <w:rPr>
      <w:color w:val="954F72" w:themeColor="followedHyperlink"/>
      <w:u w:val="single"/>
    </w:rPr>
  </w:style>
  <w:style w:type="character" w:styleId="PageNumber">
    <w:name w:val="page number"/>
    <w:basedOn w:val="DefaultParagraphFont"/>
    <w:uiPriority w:val="99"/>
    <w:semiHidden/>
    <w:unhideWhenUsed/>
    <w:rsid w:val="00F40E55"/>
  </w:style>
  <w:style w:type="character" w:styleId="CommentReference">
    <w:name w:val="annotation reference"/>
    <w:basedOn w:val="DefaultParagraphFont"/>
    <w:uiPriority w:val="99"/>
    <w:semiHidden/>
    <w:unhideWhenUsed/>
    <w:rsid w:val="00C8058C"/>
    <w:rPr>
      <w:sz w:val="16"/>
      <w:szCs w:val="16"/>
    </w:rPr>
  </w:style>
  <w:style w:type="paragraph" w:styleId="CommentText">
    <w:name w:val="annotation text"/>
    <w:basedOn w:val="Normal"/>
    <w:link w:val="CommentTextChar"/>
    <w:uiPriority w:val="99"/>
    <w:semiHidden/>
    <w:unhideWhenUsed/>
    <w:rsid w:val="00C8058C"/>
    <w:rPr>
      <w:sz w:val="20"/>
      <w:szCs w:val="20"/>
    </w:rPr>
  </w:style>
  <w:style w:type="character" w:customStyle="1" w:styleId="CommentTextChar">
    <w:name w:val="Comment Text Char"/>
    <w:basedOn w:val="DefaultParagraphFont"/>
    <w:link w:val="CommentText"/>
    <w:uiPriority w:val="99"/>
    <w:semiHidden/>
    <w:rsid w:val="00C8058C"/>
    <w:rPr>
      <w:sz w:val="20"/>
      <w:szCs w:val="20"/>
    </w:rPr>
  </w:style>
  <w:style w:type="paragraph" w:styleId="CommentSubject">
    <w:name w:val="annotation subject"/>
    <w:basedOn w:val="CommentText"/>
    <w:next w:val="CommentText"/>
    <w:link w:val="CommentSubjectChar"/>
    <w:uiPriority w:val="99"/>
    <w:semiHidden/>
    <w:unhideWhenUsed/>
    <w:rsid w:val="00C8058C"/>
    <w:rPr>
      <w:b/>
      <w:bCs/>
    </w:rPr>
  </w:style>
  <w:style w:type="character" w:customStyle="1" w:styleId="CommentSubjectChar">
    <w:name w:val="Comment Subject Char"/>
    <w:basedOn w:val="CommentTextChar"/>
    <w:link w:val="CommentSubject"/>
    <w:uiPriority w:val="99"/>
    <w:semiHidden/>
    <w:rsid w:val="00C8058C"/>
    <w:rPr>
      <w:b/>
      <w:bCs/>
      <w:sz w:val="20"/>
      <w:szCs w:val="20"/>
    </w:rPr>
  </w:style>
  <w:style w:type="paragraph" w:styleId="Revision">
    <w:name w:val="Revision"/>
    <w:hidden/>
    <w:uiPriority w:val="99"/>
    <w:semiHidden/>
    <w:rsid w:val="00A37259"/>
  </w:style>
  <w:style w:type="character" w:customStyle="1" w:styleId="Heading1Char">
    <w:name w:val="Heading 1 Char"/>
    <w:basedOn w:val="DefaultParagraphFont"/>
    <w:link w:val="Heading1"/>
    <w:uiPriority w:val="9"/>
    <w:rsid w:val="00323F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3F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23FE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23FE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8634">
      <w:bodyDiv w:val="1"/>
      <w:marLeft w:val="0"/>
      <w:marRight w:val="0"/>
      <w:marTop w:val="0"/>
      <w:marBottom w:val="0"/>
      <w:divBdr>
        <w:top w:val="none" w:sz="0" w:space="0" w:color="auto"/>
        <w:left w:val="none" w:sz="0" w:space="0" w:color="auto"/>
        <w:bottom w:val="none" w:sz="0" w:space="0" w:color="auto"/>
        <w:right w:val="none" w:sz="0" w:space="0" w:color="auto"/>
      </w:divBdr>
    </w:div>
    <w:div w:id="18917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ance.uw.edu/maa/faculty-effort-certification-fec/faculty-effort/fec-process/follow-proc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e.uw.edu/fr/internal-controls/reconcili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03A0AFADC96E498D1893D33ADB2B11" ma:contentTypeVersion="8" ma:contentTypeDescription="Create a new document." ma:contentTypeScope="" ma:versionID="a68cd4690cbe0357aa74d4957de3706f">
  <xsd:schema xmlns:xsd="http://www.w3.org/2001/XMLSchema" xmlns:xs="http://www.w3.org/2001/XMLSchema" xmlns:p="http://schemas.microsoft.com/office/2006/metadata/properties" xmlns:ns3="c6dbaf6f-4a1e-442e-8925-b3e9701e02fd" xmlns:ns4="34fab0cd-01ac-4f39-971b-68ef4e01c331" targetNamespace="http://schemas.microsoft.com/office/2006/metadata/properties" ma:root="true" ma:fieldsID="c947f2c164c355b675c43f9688f816d8" ns3:_="" ns4:_="">
    <xsd:import namespace="c6dbaf6f-4a1e-442e-8925-b3e9701e02fd"/>
    <xsd:import namespace="34fab0cd-01ac-4f39-971b-68ef4e01c33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baf6f-4a1e-442e-8925-b3e9701e02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fab0cd-01ac-4f39-971b-68ef4e01c3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8A68-C2FE-47D5-B093-B780D812EA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4D44C8-4C4B-4516-AC50-BEAA17243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baf6f-4a1e-442e-8925-b3e9701e02fd"/>
    <ds:schemaRef ds:uri="34fab0cd-01ac-4f39-971b-68ef4e01c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B4A51-1FEE-4511-A3E7-1852D3BCCF33}">
  <ds:schemaRefs>
    <ds:schemaRef ds:uri="http://schemas.microsoft.com/sharepoint/v3/contenttype/forms"/>
  </ds:schemaRefs>
</ds:datastoreItem>
</file>

<file path=customXml/itemProps4.xml><?xml version="1.0" encoding="utf-8"?>
<ds:datastoreItem xmlns:ds="http://schemas.openxmlformats.org/officeDocument/2006/customXml" ds:itemID="{AD66DEDF-E4AC-5846-8BEC-A48254E5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 Brennan</dc:creator>
  <cp:keywords/>
  <dc:description/>
  <cp:lastModifiedBy>Sarah Verlinde</cp:lastModifiedBy>
  <cp:revision>8</cp:revision>
  <cp:lastPrinted>2019-08-30T19:51:00Z</cp:lastPrinted>
  <dcterms:created xsi:type="dcterms:W3CDTF">2019-12-12T23:20:00Z</dcterms:created>
  <dcterms:modified xsi:type="dcterms:W3CDTF">2020-10-14T19:06:00Z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0x010100DE03A0AFADC96E498D1893D33ADB2B11</vt:lpwstr>
  </property>
</Properties>
</file>