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BCE04" w14:textId="77777777" w:rsidR="000F3B9A" w:rsidRDefault="000F3B9A">
      <w:r w:rsidRPr="000F3B9A">
        <w:rPr>
          <w:b/>
        </w:rPr>
        <w:t>Subject:</w:t>
      </w:r>
      <w:r>
        <w:t xml:space="preserve"> UW Bothel</w:t>
      </w:r>
      <w:r w:rsidR="00C624AB">
        <w:t xml:space="preserve">l Carryover Allocation Process </w:t>
      </w:r>
    </w:p>
    <w:p w14:paraId="6B5B2C84" w14:textId="77777777" w:rsidR="000F3B9A" w:rsidRPr="000F3B9A" w:rsidRDefault="000F3B9A">
      <w:r>
        <w:rPr>
          <w:b/>
        </w:rPr>
        <w:t xml:space="preserve">Date: </w:t>
      </w:r>
      <w:r w:rsidR="00C624AB">
        <w:t>November 14</w:t>
      </w:r>
      <w:r w:rsidR="001D77D6">
        <w:t>, 2018</w:t>
      </w:r>
    </w:p>
    <w:p w14:paraId="23C7C595" w14:textId="77777777" w:rsidR="009C505E" w:rsidRDefault="008834A9">
      <w:pPr>
        <w:pBdr>
          <w:bottom w:val="single" w:sz="6" w:space="1" w:color="auto"/>
        </w:pBdr>
      </w:pPr>
      <w:r w:rsidRPr="000F3B9A">
        <w:rPr>
          <w:b/>
        </w:rPr>
        <w:t>Purpose:</w:t>
      </w:r>
      <w:r>
        <w:t xml:space="preserve"> The following document outlines the methodology for UW Bothell’s institutional carryover allocation, effective FY 2019.  This policy applies only to UW</w:t>
      </w:r>
      <w:r w:rsidR="000F3B9A">
        <w:t xml:space="preserve"> </w:t>
      </w:r>
      <w:r>
        <w:t>B</w:t>
      </w:r>
      <w:r w:rsidR="000F3B9A">
        <w:t>othell</w:t>
      </w:r>
      <w:r>
        <w:t>’s state operating budget (i.e. General Operating Fund, Designated Operating Fund and Research Cost Recovery) and does not apply to any other funding sources.</w:t>
      </w:r>
    </w:p>
    <w:p w14:paraId="41F3A1E5" w14:textId="77777777" w:rsidR="008834A9" w:rsidRPr="004D5A6E" w:rsidRDefault="008834A9">
      <w:pPr>
        <w:rPr>
          <w:b/>
          <w:i/>
          <w:sz w:val="24"/>
        </w:rPr>
      </w:pPr>
      <w:r w:rsidRPr="004D5A6E">
        <w:rPr>
          <w:b/>
          <w:i/>
          <w:sz w:val="24"/>
        </w:rPr>
        <w:t>Carryover Allocation</w:t>
      </w:r>
      <w:r w:rsidR="00563189">
        <w:rPr>
          <w:b/>
          <w:i/>
          <w:sz w:val="24"/>
        </w:rPr>
        <w:t xml:space="preserve"> </w:t>
      </w:r>
    </w:p>
    <w:p w14:paraId="3A96B3F2" w14:textId="77777777" w:rsidR="00E256AE" w:rsidRDefault="008834A9">
      <w:r>
        <w:t xml:space="preserve">Effective FY 2019, UWB will institute a biennial institutional carryover policy on unused funds (henceforth referred to as carryover) in state operating budgets.  </w:t>
      </w:r>
      <w:r w:rsidR="00E256AE">
        <w:t>In support of RCM adoption, UW</w:t>
      </w:r>
      <w:r w:rsidR="000F3B9A">
        <w:t xml:space="preserve"> </w:t>
      </w:r>
      <w:r w:rsidR="00E256AE">
        <w:t>B</w:t>
      </w:r>
      <w:r w:rsidR="000F3B9A">
        <w:t>othell</w:t>
      </w:r>
      <w:r w:rsidR="00E256AE">
        <w:t xml:space="preserve"> will have separate allocation policies for academic and non-academic units</w:t>
      </w:r>
      <w:r w:rsidR="000F3B9A">
        <w:t xml:space="preserve"> (see Example 1)</w:t>
      </w:r>
      <w:r w:rsidR="00E256AE">
        <w:t xml:space="preserve">.  </w:t>
      </w:r>
    </w:p>
    <w:p w14:paraId="42821804" w14:textId="77777777" w:rsidR="00E256AE" w:rsidRPr="00E256AE" w:rsidRDefault="00E256AE">
      <w:pPr>
        <w:rPr>
          <w:i/>
        </w:rPr>
      </w:pPr>
      <w:r w:rsidRPr="00E256AE">
        <w:rPr>
          <w:i/>
        </w:rPr>
        <w:t>Academic Unit Policy</w:t>
      </w:r>
    </w:p>
    <w:p w14:paraId="13E027C6" w14:textId="77777777" w:rsidR="00E256AE" w:rsidRDefault="00E256AE">
      <w:r>
        <w:t xml:space="preserve">An academic unit is defined as a school or the First Year &amp; Pre-Major Program (FYPP) of UW Bothell.  </w:t>
      </w:r>
    </w:p>
    <w:p w14:paraId="19629400" w14:textId="77777777" w:rsidR="00E256AE" w:rsidRDefault="00D77C31" w:rsidP="00E256AE">
      <w:pPr>
        <w:pStyle w:val="ListParagraph"/>
        <w:numPr>
          <w:ilvl w:val="0"/>
          <w:numId w:val="3"/>
        </w:numPr>
      </w:pPr>
      <w:r>
        <w:t>85</w:t>
      </w:r>
      <w:r w:rsidR="00E256AE">
        <w:t>% of carryover funds will be returned to the Vice Chancellor of Academic Affairs, for utilization and allocation</w:t>
      </w:r>
    </w:p>
    <w:p w14:paraId="75D478E5" w14:textId="77777777" w:rsidR="00E256AE" w:rsidRDefault="00E256AE" w:rsidP="00E256AE">
      <w:pPr>
        <w:pStyle w:val="ListParagraph"/>
        <w:numPr>
          <w:ilvl w:val="0"/>
          <w:numId w:val="3"/>
        </w:numPr>
      </w:pPr>
      <w:r>
        <w:t>1</w:t>
      </w:r>
      <w:r w:rsidR="00D77C31">
        <w:t>5</w:t>
      </w:r>
      <w:r>
        <w:t>% of carryover funds will be retained by the institution</w:t>
      </w:r>
    </w:p>
    <w:p w14:paraId="732EF288" w14:textId="77777777" w:rsidR="00E256AE" w:rsidRPr="00E256AE" w:rsidRDefault="00E256AE" w:rsidP="00E256AE">
      <w:pPr>
        <w:rPr>
          <w:i/>
        </w:rPr>
      </w:pPr>
      <w:r w:rsidRPr="00E256AE">
        <w:rPr>
          <w:i/>
        </w:rPr>
        <w:lastRenderedPageBreak/>
        <w:t>Non-Academic Unit Policy</w:t>
      </w:r>
    </w:p>
    <w:p w14:paraId="6B1B49A8" w14:textId="77777777" w:rsidR="00E256AE" w:rsidRDefault="00E256AE" w:rsidP="00E256AE">
      <w:r>
        <w:t xml:space="preserve">A non-academic unit is defined as a unit of UW Bothell that is not defined as </w:t>
      </w:r>
      <w:r w:rsidR="002906A9">
        <w:t>a school or</w:t>
      </w:r>
      <w:r>
        <w:t xml:space="preserve"> FYPP.  </w:t>
      </w:r>
    </w:p>
    <w:p w14:paraId="10E5B4C9" w14:textId="77777777" w:rsidR="00E256AE" w:rsidRDefault="00E256AE" w:rsidP="00E256AE">
      <w:pPr>
        <w:pStyle w:val="ListParagraph"/>
        <w:numPr>
          <w:ilvl w:val="0"/>
          <w:numId w:val="4"/>
        </w:numPr>
      </w:pPr>
      <w:r>
        <w:t xml:space="preserve">70% of carryover funds will be returned to the </w:t>
      </w:r>
      <w:r w:rsidR="00563189">
        <w:t>unit’s divisional leadership</w:t>
      </w:r>
    </w:p>
    <w:p w14:paraId="57553525" w14:textId="77777777" w:rsidR="00E256AE" w:rsidRDefault="00E256AE" w:rsidP="00E256AE">
      <w:pPr>
        <w:pStyle w:val="ListParagraph"/>
        <w:numPr>
          <w:ilvl w:val="0"/>
          <w:numId w:val="4"/>
        </w:numPr>
      </w:pPr>
      <w:r>
        <w:t>30% of carryover funds will be retained by the institution</w:t>
      </w:r>
    </w:p>
    <w:p w14:paraId="7AE4BA22" w14:textId="77777777" w:rsidR="00362D38" w:rsidRDefault="00362D38"/>
    <w:p w14:paraId="33C5A78F" w14:textId="77777777" w:rsidR="00362D38" w:rsidRPr="004D5A6E" w:rsidRDefault="00362D38">
      <w:pPr>
        <w:rPr>
          <w:b/>
          <w:i/>
          <w:sz w:val="24"/>
        </w:rPr>
      </w:pPr>
      <w:r w:rsidRPr="004D5A6E">
        <w:rPr>
          <w:b/>
          <w:i/>
          <w:sz w:val="24"/>
        </w:rPr>
        <w:t>Exemptions</w:t>
      </w:r>
    </w:p>
    <w:p w14:paraId="40B9E082" w14:textId="77777777" w:rsidR="00362D38" w:rsidRDefault="00362D38">
      <w:r>
        <w:t>The following are the only exemptions to the carryover allocation policy.  Funds in these budgets will be returned directly to the appropriate budget owner.</w:t>
      </w:r>
      <w:r w:rsidR="000F3B9A">
        <w:t xml:space="preserve">  Additional one-time or perpetual exemptions can be made at the approval of the Chancellor (see Example 1).</w:t>
      </w:r>
    </w:p>
    <w:p w14:paraId="35E6A09C" w14:textId="77777777" w:rsidR="00362D38" w:rsidRDefault="00362D38" w:rsidP="00362D38">
      <w:pPr>
        <w:pStyle w:val="ListParagraph"/>
        <w:numPr>
          <w:ilvl w:val="0"/>
          <w:numId w:val="1"/>
        </w:numPr>
      </w:pPr>
      <w:r>
        <w:t>University steward budgets</w:t>
      </w:r>
    </w:p>
    <w:p w14:paraId="6BAC6227" w14:textId="77777777" w:rsidR="00362D38" w:rsidRDefault="00362D38" w:rsidP="00362D38">
      <w:pPr>
        <w:pStyle w:val="ListParagraph"/>
        <w:numPr>
          <w:ilvl w:val="0"/>
          <w:numId w:val="1"/>
        </w:numPr>
      </w:pPr>
      <w:r>
        <w:t xml:space="preserve">Encumbered faculty startup commitments- Exemption is limited to contractually committed startup packages as part of a new hire package, retention offer, or additional university commitment.  </w:t>
      </w:r>
    </w:p>
    <w:p w14:paraId="4F3E5812" w14:textId="77777777" w:rsidR="00362D38" w:rsidRDefault="00362D38" w:rsidP="00362D38">
      <w:pPr>
        <w:pStyle w:val="ListParagraph"/>
        <w:numPr>
          <w:ilvl w:val="0"/>
          <w:numId w:val="1"/>
        </w:numPr>
      </w:pPr>
      <w:r>
        <w:t>Research Cost Recovery (RCR) funds- Includes activity within schools and centers RCR (75-) budgets and RCR allocated to the UW</w:t>
      </w:r>
      <w:r w:rsidR="000F3B9A">
        <w:t xml:space="preserve"> </w:t>
      </w:r>
      <w:r>
        <w:t>B</w:t>
      </w:r>
      <w:r w:rsidR="000F3B9A">
        <w:t>othell</w:t>
      </w:r>
      <w:r>
        <w:t xml:space="preserve"> Office of Research</w:t>
      </w:r>
    </w:p>
    <w:p w14:paraId="25C58594" w14:textId="77777777" w:rsidR="00455D65" w:rsidRDefault="00455D65">
      <w:r>
        <w:lastRenderedPageBreak/>
        <w:br w:type="page"/>
      </w:r>
    </w:p>
    <w:p w14:paraId="25A24CD8" w14:textId="77777777" w:rsidR="00362D38" w:rsidRDefault="00362D38" w:rsidP="00362D38"/>
    <w:p w14:paraId="5E6AB848" w14:textId="77777777" w:rsidR="00362D38" w:rsidRPr="004D5A6E" w:rsidRDefault="00563189" w:rsidP="00362D38">
      <w:pPr>
        <w:rPr>
          <w:b/>
          <w:i/>
          <w:sz w:val="24"/>
        </w:rPr>
      </w:pPr>
      <w:r>
        <w:rPr>
          <w:b/>
          <w:i/>
          <w:sz w:val="24"/>
        </w:rPr>
        <w:t>Institutional Allocation</w:t>
      </w:r>
    </w:p>
    <w:p w14:paraId="3F2C9CBD" w14:textId="77777777" w:rsidR="009F12AE" w:rsidRDefault="005B3C53" w:rsidP="009F12AE">
      <w:r>
        <w:t>Carryover funds retained by the university will be allocated in the following manner, providing funding to each university resource</w:t>
      </w:r>
      <w:r w:rsidR="009F12AE">
        <w:t xml:space="preserve"> in full</w:t>
      </w:r>
      <w:r>
        <w:t>, as required</w:t>
      </w:r>
      <w:r w:rsidR="009F12AE">
        <w:t xml:space="preserve">, until the funds are exhausted. </w:t>
      </w:r>
    </w:p>
    <w:p w14:paraId="2D85DECB" w14:textId="77777777" w:rsidR="005B3C53" w:rsidRDefault="005B3C53" w:rsidP="009F12AE">
      <w:pPr>
        <w:pStyle w:val="ListParagraph"/>
        <w:numPr>
          <w:ilvl w:val="0"/>
          <w:numId w:val="2"/>
        </w:numPr>
      </w:pPr>
      <w:r>
        <w:t>Campus Reserve funded to 10% of UW</w:t>
      </w:r>
      <w:r w:rsidR="009F7B39">
        <w:t xml:space="preserve"> </w:t>
      </w:r>
      <w:r>
        <w:t>B</w:t>
      </w:r>
      <w:r w:rsidR="009F7B39">
        <w:t>othell</w:t>
      </w:r>
      <w:r>
        <w:t xml:space="preserve">’s </w:t>
      </w:r>
      <w:r w:rsidR="009F7B39">
        <w:t xml:space="preserve">state </w:t>
      </w:r>
      <w:r>
        <w:t>operating budget</w:t>
      </w:r>
      <w:r w:rsidR="009F7B39">
        <w:t>.</w:t>
      </w:r>
    </w:p>
    <w:p w14:paraId="03C0ED50" w14:textId="77777777" w:rsidR="005B3C53" w:rsidRDefault="005B3C53" w:rsidP="009F12AE">
      <w:pPr>
        <w:pStyle w:val="ListParagraph"/>
        <w:numPr>
          <w:ilvl w:val="0"/>
          <w:numId w:val="2"/>
        </w:numPr>
      </w:pPr>
      <w:r>
        <w:t>Central UW</w:t>
      </w:r>
      <w:r w:rsidR="009F7B39">
        <w:t xml:space="preserve"> </w:t>
      </w:r>
      <w:r>
        <w:t>B</w:t>
      </w:r>
      <w:r w:rsidR="009F7B39">
        <w:t>othell</w:t>
      </w:r>
      <w:r>
        <w:t xml:space="preserve"> costs to include, but not limited to, utilities, building operations and maintenance, real estate leases, and UW Seattle overhead</w:t>
      </w:r>
      <w:r w:rsidR="002906A9">
        <w:t xml:space="preserve"> for the biennium</w:t>
      </w:r>
      <w:r>
        <w:t>.</w:t>
      </w:r>
    </w:p>
    <w:p w14:paraId="1B5CC831" w14:textId="77777777" w:rsidR="005B3C53" w:rsidRDefault="005B3C53" w:rsidP="009F12AE">
      <w:pPr>
        <w:pStyle w:val="ListParagraph"/>
        <w:numPr>
          <w:ilvl w:val="0"/>
          <w:numId w:val="2"/>
        </w:numPr>
      </w:pPr>
      <w:r>
        <w:t>UW Bothell Investment Fund</w:t>
      </w:r>
    </w:p>
    <w:p w14:paraId="5178C722" w14:textId="77777777" w:rsidR="005B3C53" w:rsidRDefault="00C624AB" w:rsidP="009F12AE">
      <w:pPr>
        <w:pStyle w:val="ListParagraph"/>
        <w:numPr>
          <w:ilvl w:val="0"/>
          <w:numId w:val="2"/>
        </w:numPr>
      </w:pPr>
      <w:r>
        <w:t>Supplementary capital, asset and equity funds</w:t>
      </w:r>
    </w:p>
    <w:p w14:paraId="217C3A32" w14:textId="77777777" w:rsidR="005528CD" w:rsidRPr="00563189" w:rsidRDefault="00563189" w:rsidP="008E03CA">
      <w:pPr>
        <w:rPr>
          <w:b/>
          <w:i/>
          <w:sz w:val="24"/>
        </w:rPr>
      </w:pPr>
      <w:r w:rsidRPr="00563189">
        <w:rPr>
          <w:b/>
          <w:i/>
          <w:sz w:val="24"/>
        </w:rPr>
        <w:t>Deficits</w:t>
      </w:r>
    </w:p>
    <w:p w14:paraId="35D157A6" w14:textId="77777777" w:rsidR="00563189" w:rsidRDefault="00563189" w:rsidP="008E03CA">
      <w:pPr>
        <w:rPr>
          <w:i/>
        </w:rPr>
      </w:pPr>
      <w:r>
        <w:rPr>
          <w:i/>
        </w:rPr>
        <w:t>Academic Units</w:t>
      </w:r>
    </w:p>
    <w:p w14:paraId="3B1C39B8" w14:textId="77777777" w:rsidR="00563189" w:rsidRDefault="00563189" w:rsidP="008E03CA">
      <w:r>
        <w:t xml:space="preserve">The </w:t>
      </w:r>
      <w:hyperlink r:id="rId7" w:history="1">
        <w:r w:rsidRPr="00E528D1">
          <w:rPr>
            <w:rStyle w:val="Hyperlink"/>
          </w:rPr>
          <w:t>deficit resolution policy</w:t>
        </w:r>
      </w:hyperlink>
      <w:r>
        <w:t xml:space="preserve"> will take effect for any academic unit that ends a biennium with a deficit on their state operating budgets.  For the purposes of divisional carryover allocation, </w:t>
      </w:r>
      <w:r w:rsidR="002565CA">
        <w:t xml:space="preserve">central </w:t>
      </w:r>
      <w:r>
        <w:t xml:space="preserve">UW Bothell, not the Vice Chancellor of Academic Affairs, will initially fund the deficit for budget balancing with the University of Washington and the academic </w:t>
      </w:r>
      <w:r>
        <w:lastRenderedPageBreak/>
        <w:t>unit will enter into the deficit resolution policy with the institution of UW Bothell</w:t>
      </w:r>
      <w:r w:rsidR="002B5164">
        <w:t xml:space="preserve"> (see Example 2)</w:t>
      </w:r>
      <w:r>
        <w:t xml:space="preserve">.  </w:t>
      </w:r>
    </w:p>
    <w:p w14:paraId="44DF2D72" w14:textId="77777777" w:rsidR="00E528D1" w:rsidRDefault="00E528D1" w:rsidP="008E03CA">
      <w:pPr>
        <w:rPr>
          <w:i/>
        </w:rPr>
      </w:pPr>
      <w:r>
        <w:rPr>
          <w:i/>
        </w:rPr>
        <w:t>Non-Academic Units</w:t>
      </w:r>
    </w:p>
    <w:p w14:paraId="40DF53F1" w14:textId="77777777" w:rsidR="00E528D1" w:rsidRDefault="00E528D1" w:rsidP="008E03CA">
      <w:r>
        <w:t xml:space="preserve">The </w:t>
      </w:r>
      <w:hyperlink r:id="rId8" w:history="1">
        <w:r w:rsidRPr="00840A36">
          <w:rPr>
            <w:rStyle w:val="Hyperlink"/>
          </w:rPr>
          <w:t>deficit resolution policy</w:t>
        </w:r>
      </w:hyperlink>
      <w:r>
        <w:t xml:space="preserve"> will take effect for any non-academic unit that ends a biennium with a deficit on their state operating budgets.  For the purposes of division carryover allocation, the unit’s divisional leadership will fund the deficit with carryover from other non-academic units in its division.  </w:t>
      </w:r>
    </w:p>
    <w:p w14:paraId="52A4231C" w14:textId="77777777" w:rsidR="00E528D1" w:rsidRPr="00E528D1" w:rsidRDefault="00E528D1" w:rsidP="008E03CA">
      <w:r>
        <w:t>For example, if a division has two non-academic units, and Unit A produces a positive carryover balance of $</w:t>
      </w:r>
      <w:r w:rsidR="002B5164">
        <w:t>300</w:t>
      </w:r>
      <w:r>
        <w:t>,000 and Unit B produces a negative carryover balance of $</w:t>
      </w:r>
      <w:r w:rsidR="002B5164">
        <w:t>20</w:t>
      </w:r>
      <w:r>
        <w:t>0,000, the net carryover balance is $</w:t>
      </w:r>
      <w:r w:rsidR="002B5164">
        <w:t>10</w:t>
      </w:r>
      <w:r>
        <w:t>0,000.  Per the policy, 30%, or $</w:t>
      </w:r>
      <w:r w:rsidR="002B5164">
        <w:t>30</w:t>
      </w:r>
      <w:r>
        <w:t>,000 will be retained by the institution, while $</w:t>
      </w:r>
      <w:r w:rsidR="002B5164">
        <w:t>70</w:t>
      </w:r>
      <w:r>
        <w:t>,000 is returned to divisional leadership</w:t>
      </w:r>
      <w:r w:rsidR="002B5164">
        <w:t xml:space="preserve"> (see Example 3)</w:t>
      </w:r>
      <w:r>
        <w:t xml:space="preserve">.  </w:t>
      </w:r>
    </w:p>
    <w:p w14:paraId="7DE3CBD9" w14:textId="77777777" w:rsidR="005528CD" w:rsidRPr="00107518" w:rsidRDefault="00107518" w:rsidP="008E03CA">
      <w:pPr>
        <w:rPr>
          <w:b/>
          <w:i/>
          <w:sz w:val="24"/>
        </w:rPr>
      </w:pPr>
      <w:r w:rsidRPr="00107518">
        <w:rPr>
          <w:b/>
          <w:i/>
          <w:sz w:val="24"/>
        </w:rPr>
        <w:t>Changes to Policy</w:t>
      </w:r>
    </w:p>
    <w:p w14:paraId="27104C81" w14:textId="77777777" w:rsidR="00107518" w:rsidRDefault="00107518" w:rsidP="008E03CA">
      <w:r>
        <w:t>The Chancellor of UW Bothell retains decision-making authority connected to all matters and areas related to this policy.</w:t>
      </w:r>
    </w:p>
    <w:p w14:paraId="3753B054" w14:textId="77777777" w:rsidR="00107518" w:rsidRDefault="00107518">
      <w:r>
        <w:br w:type="page"/>
      </w:r>
    </w:p>
    <w:p w14:paraId="20A05A96" w14:textId="77777777" w:rsidR="00107518" w:rsidRPr="00107518" w:rsidRDefault="00107518" w:rsidP="008E03CA"/>
    <w:p w14:paraId="42BFFEB0" w14:textId="77777777" w:rsidR="008E03CA" w:rsidRPr="004D5A6E" w:rsidRDefault="000F3B9A" w:rsidP="008E03CA">
      <w:pPr>
        <w:rPr>
          <w:b/>
          <w:i/>
          <w:sz w:val="24"/>
        </w:rPr>
      </w:pPr>
      <w:r>
        <w:rPr>
          <w:b/>
          <w:i/>
          <w:sz w:val="24"/>
        </w:rPr>
        <w:t>Example</w:t>
      </w:r>
      <w:r w:rsidR="005528CD" w:rsidRPr="004D5A6E">
        <w:rPr>
          <w:b/>
          <w:i/>
          <w:sz w:val="24"/>
        </w:rPr>
        <w:t xml:space="preserve"> 1: Carryover Allocation</w:t>
      </w:r>
      <w:r>
        <w:rPr>
          <w:b/>
          <w:i/>
          <w:sz w:val="24"/>
        </w:rPr>
        <w:t xml:space="preserve"> Process</w:t>
      </w:r>
    </w:p>
    <w:tbl>
      <w:tblPr>
        <w:tblStyle w:val="TableGrid"/>
        <w:tblW w:w="0" w:type="auto"/>
        <w:tblLayout w:type="fixed"/>
        <w:tblLook w:val="04A0" w:firstRow="1" w:lastRow="0" w:firstColumn="1" w:lastColumn="0" w:noHBand="0" w:noVBand="1"/>
        <w:tblDescription w:val="Carryover allocation process table showing amount allocated to academic, non-academic and steward budget, as well as amount retained by Division and UW Bothell."/>
      </w:tblPr>
      <w:tblGrid>
        <w:gridCol w:w="4320"/>
        <w:gridCol w:w="1728"/>
        <w:gridCol w:w="1728"/>
        <w:gridCol w:w="1728"/>
      </w:tblGrid>
      <w:tr w:rsidR="00A71507" w14:paraId="37D554FB" w14:textId="77777777" w:rsidTr="006B306D">
        <w:trPr>
          <w:tblHeader/>
        </w:trPr>
        <w:tc>
          <w:tcPr>
            <w:tcW w:w="4320" w:type="dxa"/>
            <w:shd w:val="clear" w:color="auto" w:fill="BDD6EE" w:themeFill="accent1" w:themeFillTint="66"/>
          </w:tcPr>
          <w:p w14:paraId="5A9A89BE" w14:textId="77777777" w:rsidR="00A71507" w:rsidRPr="0096346E" w:rsidRDefault="00A71507" w:rsidP="008E03CA">
            <w:pPr>
              <w:rPr>
                <w:b/>
              </w:rPr>
            </w:pPr>
          </w:p>
        </w:tc>
        <w:tc>
          <w:tcPr>
            <w:tcW w:w="1728" w:type="dxa"/>
            <w:shd w:val="clear" w:color="auto" w:fill="BDD6EE" w:themeFill="accent1" w:themeFillTint="66"/>
          </w:tcPr>
          <w:p w14:paraId="75A315C3" w14:textId="77777777" w:rsidR="00A71507" w:rsidRPr="0096346E" w:rsidRDefault="00A71507" w:rsidP="00A71507">
            <w:pPr>
              <w:jc w:val="center"/>
              <w:rPr>
                <w:b/>
              </w:rPr>
            </w:pPr>
            <w:r w:rsidRPr="0096346E">
              <w:rPr>
                <w:b/>
              </w:rPr>
              <w:t>Academic Unit</w:t>
            </w:r>
          </w:p>
        </w:tc>
        <w:tc>
          <w:tcPr>
            <w:tcW w:w="1728" w:type="dxa"/>
            <w:shd w:val="clear" w:color="auto" w:fill="BDD6EE" w:themeFill="accent1" w:themeFillTint="66"/>
          </w:tcPr>
          <w:p w14:paraId="0C86CE95" w14:textId="77777777" w:rsidR="00A71507" w:rsidRPr="0096346E" w:rsidRDefault="00A71507" w:rsidP="00A71507">
            <w:pPr>
              <w:jc w:val="center"/>
              <w:rPr>
                <w:b/>
              </w:rPr>
            </w:pPr>
            <w:r w:rsidRPr="0096346E">
              <w:rPr>
                <w:b/>
              </w:rPr>
              <w:t>Non-Academic Unit</w:t>
            </w:r>
          </w:p>
        </w:tc>
        <w:tc>
          <w:tcPr>
            <w:tcW w:w="1728" w:type="dxa"/>
            <w:shd w:val="clear" w:color="auto" w:fill="BDD6EE" w:themeFill="accent1" w:themeFillTint="66"/>
          </w:tcPr>
          <w:p w14:paraId="2AAFDD9B" w14:textId="77777777" w:rsidR="00A71507" w:rsidRPr="0096346E" w:rsidRDefault="00A71507" w:rsidP="00A71507">
            <w:pPr>
              <w:jc w:val="center"/>
              <w:rPr>
                <w:b/>
              </w:rPr>
            </w:pPr>
            <w:r w:rsidRPr="0096346E">
              <w:rPr>
                <w:b/>
              </w:rPr>
              <w:t>Steward Budget</w:t>
            </w:r>
          </w:p>
        </w:tc>
      </w:tr>
      <w:tr w:rsidR="00A71507" w14:paraId="60977C40" w14:textId="77777777" w:rsidTr="00A71507">
        <w:tc>
          <w:tcPr>
            <w:tcW w:w="4320" w:type="dxa"/>
          </w:tcPr>
          <w:p w14:paraId="0E29FA94" w14:textId="77777777" w:rsidR="00A71507" w:rsidRPr="00A71507" w:rsidRDefault="00A71507" w:rsidP="008E03CA">
            <w:pPr>
              <w:rPr>
                <w:sz w:val="24"/>
              </w:rPr>
            </w:pPr>
            <w:r w:rsidRPr="00A71507">
              <w:rPr>
                <w:sz w:val="24"/>
              </w:rPr>
              <w:t>Carryover Amount</w:t>
            </w:r>
          </w:p>
        </w:tc>
        <w:tc>
          <w:tcPr>
            <w:tcW w:w="1728" w:type="dxa"/>
          </w:tcPr>
          <w:p w14:paraId="7B7EA7A0" w14:textId="77777777" w:rsidR="00A71507" w:rsidRPr="0096346E" w:rsidRDefault="00A71507" w:rsidP="00A71507">
            <w:pPr>
              <w:jc w:val="right"/>
              <w:rPr>
                <w:sz w:val="24"/>
              </w:rPr>
            </w:pPr>
            <w:r w:rsidRPr="0096346E">
              <w:rPr>
                <w:sz w:val="24"/>
              </w:rPr>
              <w:t>$250,000</w:t>
            </w:r>
          </w:p>
        </w:tc>
        <w:tc>
          <w:tcPr>
            <w:tcW w:w="1728" w:type="dxa"/>
          </w:tcPr>
          <w:p w14:paraId="44F1973E" w14:textId="77777777" w:rsidR="00A71507" w:rsidRPr="0096346E" w:rsidRDefault="00A71507" w:rsidP="00A71507">
            <w:pPr>
              <w:jc w:val="right"/>
              <w:rPr>
                <w:sz w:val="24"/>
              </w:rPr>
            </w:pPr>
            <w:r w:rsidRPr="0096346E">
              <w:rPr>
                <w:sz w:val="24"/>
              </w:rPr>
              <w:t>$250,000</w:t>
            </w:r>
          </w:p>
        </w:tc>
        <w:tc>
          <w:tcPr>
            <w:tcW w:w="1728" w:type="dxa"/>
          </w:tcPr>
          <w:p w14:paraId="0343F194" w14:textId="77777777" w:rsidR="00A71507" w:rsidRPr="0096346E" w:rsidRDefault="00A71507" w:rsidP="00A71507">
            <w:pPr>
              <w:jc w:val="right"/>
              <w:rPr>
                <w:sz w:val="24"/>
              </w:rPr>
            </w:pPr>
            <w:r w:rsidRPr="0096346E">
              <w:rPr>
                <w:sz w:val="24"/>
              </w:rPr>
              <w:t>$250,000</w:t>
            </w:r>
          </w:p>
        </w:tc>
      </w:tr>
      <w:tr w:rsidR="00A71507" w14:paraId="01E359E7" w14:textId="77777777" w:rsidTr="00A71507">
        <w:tc>
          <w:tcPr>
            <w:tcW w:w="4320" w:type="dxa"/>
          </w:tcPr>
          <w:p w14:paraId="2E869A04" w14:textId="77777777" w:rsidR="00A71507" w:rsidRPr="00A71507" w:rsidRDefault="0096346E" w:rsidP="00A71507">
            <w:pPr>
              <w:ind w:left="720"/>
              <w:rPr>
                <w:sz w:val="20"/>
                <w:szCs w:val="20"/>
              </w:rPr>
            </w:pPr>
            <w:r>
              <w:rPr>
                <w:sz w:val="20"/>
                <w:szCs w:val="20"/>
              </w:rPr>
              <w:t>l</w:t>
            </w:r>
            <w:r w:rsidR="00A71507" w:rsidRPr="00A71507">
              <w:rPr>
                <w:sz w:val="20"/>
                <w:szCs w:val="20"/>
              </w:rPr>
              <w:t>ess, Faculty Startup</w:t>
            </w:r>
          </w:p>
        </w:tc>
        <w:tc>
          <w:tcPr>
            <w:tcW w:w="1728" w:type="dxa"/>
          </w:tcPr>
          <w:p w14:paraId="7CCF521B" w14:textId="77777777" w:rsidR="00A71507" w:rsidRPr="0096346E" w:rsidRDefault="00A71507" w:rsidP="00A71507">
            <w:pPr>
              <w:jc w:val="right"/>
              <w:rPr>
                <w:sz w:val="20"/>
              </w:rPr>
            </w:pPr>
            <w:r w:rsidRPr="0096346E">
              <w:rPr>
                <w:sz w:val="20"/>
              </w:rPr>
              <w:t>$50,000</w:t>
            </w:r>
          </w:p>
        </w:tc>
        <w:tc>
          <w:tcPr>
            <w:tcW w:w="1728" w:type="dxa"/>
          </w:tcPr>
          <w:p w14:paraId="388DE107" w14:textId="77777777" w:rsidR="00A71507" w:rsidRPr="0096346E" w:rsidRDefault="00A71507" w:rsidP="00A71507">
            <w:pPr>
              <w:jc w:val="right"/>
              <w:rPr>
                <w:sz w:val="20"/>
              </w:rPr>
            </w:pPr>
            <w:r w:rsidRPr="0096346E">
              <w:rPr>
                <w:sz w:val="20"/>
              </w:rPr>
              <w:t>$0</w:t>
            </w:r>
          </w:p>
        </w:tc>
        <w:tc>
          <w:tcPr>
            <w:tcW w:w="1728" w:type="dxa"/>
          </w:tcPr>
          <w:p w14:paraId="35FE8FE7" w14:textId="77777777" w:rsidR="00A71507" w:rsidRPr="0096346E" w:rsidRDefault="00A71507" w:rsidP="00A71507">
            <w:pPr>
              <w:jc w:val="right"/>
              <w:rPr>
                <w:sz w:val="20"/>
              </w:rPr>
            </w:pPr>
            <w:r w:rsidRPr="0096346E">
              <w:rPr>
                <w:sz w:val="20"/>
              </w:rPr>
              <w:t>$0</w:t>
            </w:r>
          </w:p>
        </w:tc>
      </w:tr>
      <w:tr w:rsidR="00A71507" w14:paraId="7FEE8FE6" w14:textId="77777777" w:rsidTr="00A71507">
        <w:tc>
          <w:tcPr>
            <w:tcW w:w="4320" w:type="dxa"/>
          </w:tcPr>
          <w:p w14:paraId="09FCA340" w14:textId="77777777" w:rsidR="00A71507" w:rsidRPr="00A71507" w:rsidRDefault="0096346E" w:rsidP="00A71507">
            <w:pPr>
              <w:ind w:left="720"/>
              <w:rPr>
                <w:sz w:val="20"/>
                <w:szCs w:val="20"/>
              </w:rPr>
            </w:pPr>
            <w:r>
              <w:rPr>
                <w:sz w:val="20"/>
                <w:szCs w:val="20"/>
              </w:rPr>
              <w:t>l</w:t>
            </w:r>
            <w:r w:rsidR="00A71507" w:rsidRPr="00A71507">
              <w:rPr>
                <w:sz w:val="20"/>
                <w:szCs w:val="20"/>
              </w:rPr>
              <w:t>ess, Steward Budget Exemption</w:t>
            </w:r>
          </w:p>
        </w:tc>
        <w:tc>
          <w:tcPr>
            <w:tcW w:w="1728" w:type="dxa"/>
          </w:tcPr>
          <w:p w14:paraId="3C0F87CC" w14:textId="77777777" w:rsidR="00A71507" w:rsidRPr="0096346E" w:rsidRDefault="00A71507" w:rsidP="00A71507">
            <w:pPr>
              <w:jc w:val="right"/>
              <w:rPr>
                <w:sz w:val="20"/>
              </w:rPr>
            </w:pPr>
            <w:r w:rsidRPr="0096346E">
              <w:rPr>
                <w:sz w:val="20"/>
              </w:rPr>
              <w:t>$0</w:t>
            </w:r>
          </w:p>
        </w:tc>
        <w:tc>
          <w:tcPr>
            <w:tcW w:w="1728" w:type="dxa"/>
          </w:tcPr>
          <w:p w14:paraId="3AD97AC3" w14:textId="77777777" w:rsidR="00A71507" w:rsidRPr="0096346E" w:rsidRDefault="00A71507" w:rsidP="00A71507">
            <w:pPr>
              <w:jc w:val="right"/>
              <w:rPr>
                <w:sz w:val="20"/>
              </w:rPr>
            </w:pPr>
            <w:r w:rsidRPr="0096346E">
              <w:rPr>
                <w:sz w:val="20"/>
              </w:rPr>
              <w:t>$0</w:t>
            </w:r>
          </w:p>
        </w:tc>
        <w:tc>
          <w:tcPr>
            <w:tcW w:w="1728" w:type="dxa"/>
          </w:tcPr>
          <w:p w14:paraId="44475757" w14:textId="77777777" w:rsidR="00A71507" w:rsidRPr="0096346E" w:rsidRDefault="00A71507" w:rsidP="00A71507">
            <w:pPr>
              <w:jc w:val="right"/>
              <w:rPr>
                <w:sz w:val="20"/>
              </w:rPr>
            </w:pPr>
            <w:r w:rsidRPr="0096346E">
              <w:rPr>
                <w:sz w:val="20"/>
              </w:rPr>
              <w:t>$250,000</w:t>
            </w:r>
          </w:p>
        </w:tc>
      </w:tr>
      <w:tr w:rsidR="00A71507" w14:paraId="2C245BD7" w14:textId="77777777" w:rsidTr="00A71507">
        <w:tc>
          <w:tcPr>
            <w:tcW w:w="4320" w:type="dxa"/>
          </w:tcPr>
          <w:p w14:paraId="7E136EF3" w14:textId="77777777" w:rsidR="00A71507" w:rsidRDefault="00A71507" w:rsidP="008E03CA">
            <w:r w:rsidRPr="00A71507">
              <w:rPr>
                <w:sz w:val="24"/>
              </w:rPr>
              <w:t>Carryover Base</w:t>
            </w:r>
          </w:p>
        </w:tc>
        <w:tc>
          <w:tcPr>
            <w:tcW w:w="1728" w:type="dxa"/>
          </w:tcPr>
          <w:p w14:paraId="4A945EFB" w14:textId="77777777" w:rsidR="00A71507" w:rsidRPr="0096346E" w:rsidRDefault="00A71507" w:rsidP="00A71507">
            <w:pPr>
              <w:jc w:val="right"/>
              <w:rPr>
                <w:sz w:val="24"/>
              </w:rPr>
            </w:pPr>
            <w:r w:rsidRPr="0096346E">
              <w:rPr>
                <w:sz w:val="24"/>
              </w:rPr>
              <w:t>$200,000</w:t>
            </w:r>
          </w:p>
        </w:tc>
        <w:tc>
          <w:tcPr>
            <w:tcW w:w="1728" w:type="dxa"/>
          </w:tcPr>
          <w:p w14:paraId="390CA305" w14:textId="77777777" w:rsidR="00A71507" w:rsidRPr="0096346E" w:rsidRDefault="00A71507" w:rsidP="00A71507">
            <w:pPr>
              <w:jc w:val="right"/>
              <w:rPr>
                <w:sz w:val="24"/>
              </w:rPr>
            </w:pPr>
            <w:r w:rsidRPr="0096346E">
              <w:rPr>
                <w:sz w:val="24"/>
              </w:rPr>
              <w:t>$250,000</w:t>
            </w:r>
          </w:p>
        </w:tc>
        <w:tc>
          <w:tcPr>
            <w:tcW w:w="1728" w:type="dxa"/>
          </w:tcPr>
          <w:p w14:paraId="34D6B682" w14:textId="77777777" w:rsidR="00A71507" w:rsidRPr="0096346E" w:rsidRDefault="00A71507" w:rsidP="00A71507">
            <w:pPr>
              <w:jc w:val="right"/>
              <w:rPr>
                <w:sz w:val="24"/>
              </w:rPr>
            </w:pPr>
            <w:r w:rsidRPr="0096346E">
              <w:rPr>
                <w:sz w:val="24"/>
              </w:rPr>
              <w:t>$0</w:t>
            </w:r>
          </w:p>
        </w:tc>
      </w:tr>
      <w:tr w:rsidR="00A71507" w14:paraId="5A53F2BF" w14:textId="77777777" w:rsidTr="00A71507">
        <w:tc>
          <w:tcPr>
            <w:tcW w:w="4320" w:type="dxa"/>
          </w:tcPr>
          <w:p w14:paraId="09E40CF1" w14:textId="77777777" w:rsidR="00A71507" w:rsidRDefault="00A71507" w:rsidP="00A71507">
            <w:pPr>
              <w:ind w:left="720"/>
            </w:pPr>
            <w:r>
              <w:t>Allocation Retained (%)</w:t>
            </w:r>
          </w:p>
        </w:tc>
        <w:tc>
          <w:tcPr>
            <w:tcW w:w="1728" w:type="dxa"/>
          </w:tcPr>
          <w:p w14:paraId="0CD1381F" w14:textId="77777777" w:rsidR="00A71507" w:rsidRPr="0096346E" w:rsidRDefault="00B90840" w:rsidP="00B90840">
            <w:pPr>
              <w:jc w:val="right"/>
            </w:pPr>
            <w:r>
              <w:t>85</w:t>
            </w:r>
            <w:r w:rsidR="00A71507" w:rsidRPr="0096346E">
              <w:t>%</w:t>
            </w:r>
          </w:p>
        </w:tc>
        <w:tc>
          <w:tcPr>
            <w:tcW w:w="1728" w:type="dxa"/>
          </w:tcPr>
          <w:p w14:paraId="5162A413" w14:textId="77777777" w:rsidR="00A71507" w:rsidRPr="0096346E" w:rsidRDefault="00A71507" w:rsidP="00A71507">
            <w:pPr>
              <w:jc w:val="right"/>
            </w:pPr>
            <w:r w:rsidRPr="0096346E">
              <w:t>70%</w:t>
            </w:r>
          </w:p>
        </w:tc>
        <w:tc>
          <w:tcPr>
            <w:tcW w:w="1728" w:type="dxa"/>
          </w:tcPr>
          <w:p w14:paraId="503D4A30" w14:textId="77777777" w:rsidR="00A71507" w:rsidRPr="0096346E" w:rsidRDefault="00834DE1" w:rsidP="00A71507">
            <w:pPr>
              <w:jc w:val="right"/>
            </w:pPr>
            <w:r>
              <w:t>N/A</w:t>
            </w:r>
          </w:p>
        </w:tc>
      </w:tr>
      <w:tr w:rsidR="00A71507" w14:paraId="11B9D7E9" w14:textId="77777777" w:rsidTr="00A71507">
        <w:tc>
          <w:tcPr>
            <w:tcW w:w="4320" w:type="dxa"/>
          </w:tcPr>
          <w:p w14:paraId="61946506" w14:textId="77777777" w:rsidR="00A71507" w:rsidRPr="00C42923" w:rsidRDefault="00A71507" w:rsidP="00C42923">
            <w:pPr>
              <w:rPr>
                <w:b/>
                <w:sz w:val="24"/>
              </w:rPr>
            </w:pPr>
            <w:r w:rsidRPr="00C42923">
              <w:rPr>
                <w:b/>
                <w:sz w:val="24"/>
              </w:rPr>
              <w:t xml:space="preserve">Carryover Retained by </w:t>
            </w:r>
            <w:r w:rsidR="00C42923" w:rsidRPr="00C42923">
              <w:rPr>
                <w:b/>
                <w:sz w:val="24"/>
              </w:rPr>
              <w:t>Division</w:t>
            </w:r>
          </w:p>
        </w:tc>
        <w:tc>
          <w:tcPr>
            <w:tcW w:w="1728" w:type="dxa"/>
          </w:tcPr>
          <w:p w14:paraId="14F476A4" w14:textId="77777777" w:rsidR="00A71507" w:rsidRPr="0096346E" w:rsidRDefault="00B90840" w:rsidP="00B90840">
            <w:pPr>
              <w:jc w:val="right"/>
              <w:rPr>
                <w:sz w:val="24"/>
              </w:rPr>
            </w:pPr>
            <w:r>
              <w:rPr>
                <w:sz w:val="24"/>
              </w:rPr>
              <w:t>$220</w:t>
            </w:r>
            <w:r w:rsidR="00A71507" w:rsidRPr="0096346E">
              <w:rPr>
                <w:sz w:val="24"/>
              </w:rPr>
              <w:t>,000</w:t>
            </w:r>
          </w:p>
        </w:tc>
        <w:tc>
          <w:tcPr>
            <w:tcW w:w="1728" w:type="dxa"/>
          </w:tcPr>
          <w:p w14:paraId="017834CB" w14:textId="77777777" w:rsidR="00A71507" w:rsidRPr="0096346E" w:rsidRDefault="00A71507" w:rsidP="00A71507">
            <w:pPr>
              <w:jc w:val="right"/>
              <w:rPr>
                <w:sz w:val="24"/>
              </w:rPr>
            </w:pPr>
            <w:r w:rsidRPr="0096346E">
              <w:rPr>
                <w:sz w:val="24"/>
              </w:rPr>
              <w:t>$175,000</w:t>
            </w:r>
          </w:p>
        </w:tc>
        <w:tc>
          <w:tcPr>
            <w:tcW w:w="1728" w:type="dxa"/>
          </w:tcPr>
          <w:p w14:paraId="7B8E0099" w14:textId="77777777" w:rsidR="00A71507" w:rsidRPr="0096346E" w:rsidRDefault="00A71507" w:rsidP="00A71507">
            <w:pPr>
              <w:jc w:val="right"/>
              <w:rPr>
                <w:sz w:val="24"/>
              </w:rPr>
            </w:pPr>
            <w:r w:rsidRPr="0096346E">
              <w:rPr>
                <w:sz w:val="24"/>
              </w:rPr>
              <w:t>$250,000</w:t>
            </w:r>
          </w:p>
        </w:tc>
      </w:tr>
      <w:tr w:rsidR="00A71507" w14:paraId="6778C999" w14:textId="77777777" w:rsidTr="00A71507">
        <w:tc>
          <w:tcPr>
            <w:tcW w:w="4320" w:type="dxa"/>
            <w:shd w:val="clear" w:color="auto" w:fill="D0CECE" w:themeFill="background2" w:themeFillShade="E6"/>
          </w:tcPr>
          <w:p w14:paraId="219CBB12" w14:textId="77777777" w:rsidR="00A71507" w:rsidRPr="00A71507" w:rsidRDefault="00A71507" w:rsidP="00A71507">
            <w:pPr>
              <w:ind w:left="720"/>
              <w:rPr>
                <w:i/>
                <w:sz w:val="20"/>
              </w:rPr>
            </w:pPr>
            <w:r w:rsidRPr="00A71507">
              <w:rPr>
                <w:i/>
                <w:sz w:val="20"/>
              </w:rPr>
              <w:t>Faculty Startup</w:t>
            </w:r>
          </w:p>
        </w:tc>
        <w:tc>
          <w:tcPr>
            <w:tcW w:w="1728" w:type="dxa"/>
            <w:shd w:val="clear" w:color="auto" w:fill="D0CECE" w:themeFill="background2" w:themeFillShade="E6"/>
          </w:tcPr>
          <w:p w14:paraId="14C16893" w14:textId="77777777" w:rsidR="00A71507" w:rsidRPr="00A71507" w:rsidRDefault="00A71507" w:rsidP="00A71507">
            <w:pPr>
              <w:jc w:val="right"/>
              <w:rPr>
                <w:i/>
                <w:sz w:val="20"/>
              </w:rPr>
            </w:pPr>
            <w:r w:rsidRPr="00A71507">
              <w:rPr>
                <w:i/>
                <w:sz w:val="20"/>
              </w:rPr>
              <w:t>$50,000</w:t>
            </w:r>
          </w:p>
        </w:tc>
        <w:tc>
          <w:tcPr>
            <w:tcW w:w="1728" w:type="dxa"/>
            <w:shd w:val="clear" w:color="auto" w:fill="D0CECE" w:themeFill="background2" w:themeFillShade="E6"/>
          </w:tcPr>
          <w:p w14:paraId="5AD58A5F" w14:textId="77777777" w:rsidR="00A71507" w:rsidRPr="00A71507" w:rsidRDefault="00A71507" w:rsidP="00A71507">
            <w:pPr>
              <w:jc w:val="right"/>
              <w:rPr>
                <w:i/>
                <w:sz w:val="20"/>
              </w:rPr>
            </w:pPr>
            <w:r w:rsidRPr="00A71507">
              <w:rPr>
                <w:i/>
                <w:sz w:val="20"/>
              </w:rPr>
              <w:t>$0</w:t>
            </w:r>
          </w:p>
        </w:tc>
        <w:tc>
          <w:tcPr>
            <w:tcW w:w="1728" w:type="dxa"/>
            <w:shd w:val="clear" w:color="auto" w:fill="D0CECE" w:themeFill="background2" w:themeFillShade="E6"/>
          </w:tcPr>
          <w:p w14:paraId="4D2A367A" w14:textId="77777777" w:rsidR="00A71507" w:rsidRPr="00A71507" w:rsidRDefault="00A71507" w:rsidP="00A71507">
            <w:pPr>
              <w:jc w:val="right"/>
              <w:rPr>
                <w:i/>
                <w:sz w:val="20"/>
              </w:rPr>
            </w:pPr>
            <w:r w:rsidRPr="00A71507">
              <w:rPr>
                <w:i/>
                <w:sz w:val="20"/>
              </w:rPr>
              <w:t>$0</w:t>
            </w:r>
          </w:p>
        </w:tc>
      </w:tr>
      <w:tr w:rsidR="00A71507" w14:paraId="7C76E52B" w14:textId="77777777" w:rsidTr="00A71507">
        <w:tc>
          <w:tcPr>
            <w:tcW w:w="4320" w:type="dxa"/>
            <w:shd w:val="clear" w:color="auto" w:fill="D0CECE" w:themeFill="background2" w:themeFillShade="E6"/>
          </w:tcPr>
          <w:p w14:paraId="1FDAE646" w14:textId="77777777" w:rsidR="00A71507" w:rsidRPr="00A71507" w:rsidRDefault="00A71507" w:rsidP="00A71507">
            <w:pPr>
              <w:ind w:left="720"/>
              <w:rPr>
                <w:i/>
                <w:sz w:val="20"/>
              </w:rPr>
            </w:pPr>
            <w:r w:rsidRPr="00A71507">
              <w:rPr>
                <w:i/>
                <w:sz w:val="20"/>
              </w:rPr>
              <w:t xml:space="preserve">Carryover </w:t>
            </w:r>
          </w:p>
        </w:tc>
        <w:tc>
          <w:tcPr>
            <w:tcW w:w="1728" w:type="dxa"/>
            <w:shd w:val="clear" w:color="auto" w:fill="D0CECE" w:themeFill="background2" w:themeFillShade="E6"/>
          </w:tcPr>
          <w:p w14:paraId="2BC0D04A" w14:textId="77777777" w:rsidR="00A71507" w:rsidRPr="00A71507" w:rsidRDefault="00B90840" w:rsidP="00A71507">
            <w:pPr>
              <w:jc w:val="right"/>
              <w:rPr>
                <w:i/>
                <w:sz w:val="20"/>
              </w:rPr>
            </w:pPr>
            <w:r>
              <w:rPr>
                <w:i/>
                <w:sz w:val="20"/>
              </w:rPr>
              <w:t>$17</w:t>
            </w:r>
            <w:r w:rsidR="00A71507" w:rsidRPr="00A71507">
              <w:rPr>
                <w:i/>
                <w:sz w:val="20"/>
              </w:rPr>
              <w:t>0,000</w:t>
            </w:r>
          </w:p>
        </w:tc>
        <w:tc>
          <w:tcPr>
            <w:tcW w:w="1728" w:type="dxa"/>
            <w:shd w:val="clear" w:color="auto" w:fill="D0CECE" w:themeFill="background2" w:themeFillShade="E6"/>
          </w:tcPr>
          <w:p w14:paraId="1F037DF4" w14:textId="77777777" w:rsidR="00A71507" w:rsidRPr="00A71507" w:rsidRDefault="00A71507" w:rsidP="00A71507">
            <w:pPr>
              <w:jc w:val="right"/>
              <w:rPr>
                <w:i/>
                <w:sz w:val="20"/>
              </w:rPr>
            </w:pPr>
            <w:r w:rsidRPr="00A71507">
              <w:rPr>
                <w:i/>
                <w:sz w:val="20"/>
              </w:rPr>
              <w:t>$175,000</w:t>
            </w:r>
          </w:p>
        </w:tc>
        <w:tc>
          <w:tcPr>
            <w:tcW w:w="1728" w:type="dxa"/>
            <w:shd w:val="clear" w:color="auto" w:fill="D0CECE" w:themeFill="background2" w:themeFillShade="E6"/>
          </w:tcPr>
          <w:p w14:paraId="6403AFA9" w14:textId="77777777" w:rsidR="00A71507" w:rsidRPr="00A71507" w:rsidRDefault="00A71507" w:rsidP="00A71507">
            <w:pPr>
              <w:jc w:val="right"/>
              <w:rPr>
                <w:i/>
                <w:sz w:val="20"/>
              </w:rPr>
            </w:pPr>
            <w:r w:rsidRPr="00A71507">
              <w:rPr>
                <w:i/>
                <w:sz w:val="20"/>
              </w:rPr>
              <w:t>$250,000</w:t>
            </w:r>
          </w:p>
        </w:tc>
      </w:tr>
      <w:tr w:rsidR="00A71507" w14:paraId="0FC18F86" w14:textId="77777777" w:rsidTr="00A71507">
        <w:tc>
          <w:tcPr>
            <w:tcW w:w="4320" w:type="dxa"/>
          </w:tcPr>
          <w:p w14:paraId="7842AFB5" w14:textId="77777777" w:rsidR="00A71507" w:rsidRPr="00C42923" w:rsidRDefault="00A71507" w:rsidP="008E03CA">
            <w:pPr>
              <w:rPr>
                <w:b/>
              </w:rPr>
            </w:pPr>
            <w:r w:rsidRPr="00C42923">
              <w:rPr>
                <w:b/>
                <w:sz w:val="24"/>
              </w:rPr>
              <w:t>Carryover Retained by UW</w:t>
            </w:r>
            <w:r w:rsidR="00107518" w:rsidRPr="00C42923">
              <w:rPr>
                <w:b/>
                <w:sz w:val="24"/>
              </w:rPr>
              <w:t xml:space="preserve"> </w:t>
            </w:r>
            <w:r w:rsidRPr="00C42923">
              <w:rPr>
                <w:b/>
                <w:sz w:val="24"/>
              </w:rPr>
              <w:t>B</w:t>
            </w:r>
            <w:r w:rsidR="00107518" w:rsidRPr="00C42923">
              <w:rPr>
                <w:b/>
                <w:sz w:val="24"/>
              </w:rPr>
              <w:t>othell</w:t>
            </w:r>
          </w:p>
        </w:tc>
        <w:tc>
          <w:tcPr>
            <w:tcW w:w="1728" w:type="dxa"/>
          </w:tcPr>
          <w:p w14:paraId="315BB428" w14:textId="77777777" w:rsidR="00A71507" w:rsidRPr="0096346E" w:rsidRDefault="00B90840" w:rsidP="00A71507">
            <w:pPr>
              <w:jc w:val="right"/>
              <w:rPr>
                <w:sz w:val="24"/>
              </w:rPr>
            </w:pPr>
            <w:r>
              <w:rPr>
                <w:sz w:val="24"/>
              </w:rPr>
              <w:t>$3</w:t>
            </w:r>
            <w:r w:rsidR="00A71507" w:rsidRPr="0096346E">
              <w:rPr>
                <w:sz w:val="24"/>
              </w:rPr>
              <w:t>0,000</w:t>
            </w:r>
          </w:p>
        </w:tc>
        <w:tc>
          <w:tcPr>
            <w:tcW w:w="1728" w:type="dxa"/>
          </w:tcPr>
          <w:p w14:paraId="261B30AF" w14:textId="77777777" w:rsidR="00A71507" w:rsidRPr="0096346E" w:rsidRDefault="00A71507" w:rsidP="00A71507">
            <w:pPr>
              <w:jc w:val="right"/>
              <w:rPr>
                <w:sz w:val="24"/>
              </w:rPr>
            </w:pPr>
            <w:r w:rsidRPr="0096346E">
              <w:rPr>
                <w:sz w:val="24"/>
              </w:rPr>
              <w:t>$75,000</w:t>
            </w:r>
          </w:p>
        </w:tc>
        <w:tc>
          <w:tcPr>
            <w:tcW w:w="1728" w:type="dxa"/>
          </w:tcPr>
          <w:p w14:paraId="7C276E5B" w14:textId="77777777" w:rsidR="00A71507" w:rsidRPr="0096346E" w:rsidRDefault="00A71507" w:rsidP="00A71507">
            <w:pPr>
              <w:jc w:val="right"/>
              <w:rPr>
                <w:sz w:val="24"/>
              </w:rPr>
            </w:pPr>
            <w:r w:rsidRPr="0096346E">
              <w:rPr>
                <w:sz w:val="24"/>
              </w:rPr>
              <w:t>$0</w:t>
            </w:r>
          </w:p>
        </w:tc>
      </w:tr>
    </w:tbl>
    <w:p w14:paraId="0FABC1E7" w14:textId="77777777" w:rsidR="00A71507" w:rsidRDefault="00A71507" w:rsidP="008E03CA"/>
    <w:p w14:paraId="4B3A7390" w14:textId="77777777" w:rsidR="00A71507" w:rsidRPr="0089084A" w:rsidRDefault="0089084A" w:rsidP="008E03CA">
      <w:pPr>
        <w:rPr>
          <w:b/>
          <w:i/>
          <w:sz w:val="24"/>
        </w:rPr>
      </w:pPr>
      <w:r w:rsidRPr="0089084A">
        <w:rPr>
          <w:b/>
          <w:i/>
          <w:sz w:val="24"/>
        </w:rPr>
        <w:t>Example 2: Academic Unit Carryover Allocation</w:t>
      </w:r>
    </w:p>
    <w:p w14:paraId="1C704171" w14:textId="77777777" w:rsidR="00A71507" w:rsidRDefault="00B90840" w:rsidP="008E03CA">
      <w:r>
        <w:rPr>
          <w:noProof/>
        </w:rPr>
        <w:lastRenderedPageBreak/>
        <w:drawing>
          <wp:inline distT="0" distB="0" distL="0" distR="0" wp14:anchorId="13C32C22" wp14:editId="3B4ECC56">
            <wp:extent cx="5943600" cy="4652645"/>
            <wp:effectExtent l="0" t="0" r="0" b="0"/>
            <wp:docPr id="1" name="Picture 1" descr="Flow chart of academic unit carryover allocation process (surplus vs. deficit carryover). In the case of a surplus, a portion is retained by the division and a portion is allocated to the unit. In the case of a deficit, the unit must follow the deficit resolution policy to cover the entire defic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652645"/>
                    </a:xfrm>
                    <a:prstGeom prst="rect">
                      <a:avLst/>
                    </a:prstGeom>
                  </pic:spPr>
                </pic:pic>
              </a:graphicData>
            </a:graphic>
          </wp:inline>
        </w:drawing>
      </w:r>
    </w:p>
    <w:p w14:paraId="198B55A2" w14:textId="77777777" w:rsidR="00B90840" w:rsidRDefault="00B90840" w:rsidP="008E03CA">
      <w:pPr>
        <w:rPr>
          <w:b/>
          <w:i/>
          <w:sz w:val="24"/>
        </w:rPr>
      </w:pPr>
    </w:p>
    <w:p w14:paraId="1160E991" w14:textId="77777777" w:rsidR="0089084A" w:rsidRDefault="0089084A" w:rsidP="008E03CA">
      <w:pPr>
        <w:rPr>
          <w:b/>
          <w:i/>
          <w:sz w:val="24"/>
        </w:rPr>
      </w:pPr>
      <w:r w:rsidRPr="0089084A">
        <w:rPr>
          <w:b/>
          <w:i/>
          <w:sz w:val="24"/>
        </w:rPr>
        <w:t>Example 3: Non-Academic Unit Carryover Allocation</w:t>
      </w:r>
    </w:p>
    <w:p w14:paraId="4DED1E9D" w14:textId="77777777" w:rsidR="0089084A" w:rsidRPr="0089084A" w:rsidRDefault="002B5164" w:rsidP="008E03CA">
      <w:pPr>
        <w:rPr>
          <w:b/>
          <w:i/>
          <w:sz w:val="24"/>
        </w:rPr>
      </w:pPr>
      <w:r>
        <w:rPr>
          <w:noProof/>
        </w:rPr>
        <w:lastRenderedPageBreak/>
        <w:drawing>
          <wp:inline distT="0" distB="0" distL="0" distR="0" wp14:anchorId="0855F576" wp14:editId="2882E171">
            <wp:extent cx="5943600" cy="3061335"/>
            <wp:effectExtent l="0" t="0" r="0" b="5715"/>
            <wp:docPr id="2" name="Picture 2" descr="Flow chart of non-academic unit carryover allocation process (surplus vs. deficit carryover). In the case of a surplus, a portion is retained by the division and a portion is allocated to the unit. In the case of a deficit, the division must cover the defic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061335"/>
                    </a:xfrm>
                    <a:prstGeom prst="rect">
                      <a:avLst/>
                    </a:prstGeom>
                  </pic:spPr>
                </pic:pic>
              </a:graphicData>
            </a:graphic>
          </wp:inline>
        </w:drawing>
      </w:r>
    </w:p>
    <w:p w14:paraId="1CBC5D0E" w14:textId="77777777" w:rsidR="008E03CA" w:rsidRPr="004D5A6E" w:rsidRDefault="008E03CA" w:rsidP="008E03CA">
      <w:pPr>
        <w:rPr>
          <w:b/>
          <w:i/>
          <w:sz w:val="24"/>
        </w:rPr>
      </w:pPr>
      <w:r w:rsidRPr="004D5A6E">
        <w:rPr>
          <w:b/>
          <w:i/>
          <w:sz w:val="24"/>
        </w:rPr>
        <w:t>Frequently Asked Questions (FAQs)</w:t>
      </w:r>
    </w:p>
    <w:p w14:paraId="014AAAC5" w14:textId="77777777" w:rsidR="004B31EE" w:rsidRPr="004B31EE" w:rsidRDefault="004B31EE" w:rsidP="004B31EE">
      <w:pPr>
        <w:pStyle w:val="ListParagraph"/>
        <w:numPr>
          <w:ilvl w:val="0"/>
          <w:numId w:val="7"/>
        </w:numPr>
        <w:rPr>
          <w:b/>
        </w:rPr>
      </w:pPr>
      <w:r w:rsidRPr="004B31EE">
        <w:rPr>
          <w:b/>
        </w:rPr>
        <w:t>Why are funds being allocated to the division’s leadership instead of directly back to the unit?</w:t>
      </w:r>
    </w:p>
    <w:p w14:paraId="381659FF" w14:textId="21B21FD4" w:rsidR="004B31EE" w:rsidRDefault="004B31EE" w:rsidP="006B306D">
      <w:pPr>
        <w:pStyle w:val="ListParagraph"/>
        <w:spacing w:after="240" w:line="240" w:lineRule="auto"/>
        <w:contextualSpacing w:val="0"/>
      </w:pPr>
      <w:r>
        <w:t xml:space="preserve">Prior to this policy, the practice at UW Bothell had been to allocate carryover funds not retained by the university back to divisional leadership (i.e. Chancellor and Vice Chancellors).  This policy formally adopts that practice and gives authority to divisional leadership to allocate and utilize their carryover funds at their discretion.  </w:t>
      </w:r>
    </w:p>
    <w:p w14:paraId="4C875C4C" w14:textId="77777777" w:rsidR="008E03CA" w:rsidRPr="004B31EE" w:rsidRDefault="008E03CA" w:rsidP="004B31EE">
      <w:pPr>
        <w:pStyle w:val="ListParagraph"/>
        <w:numPr>
          <w:ilvl w:val="0"/>
          <w:numId w:val="7"/>
        </w:numPr>
        <w:rPr>
          <w:b/>
        </w:rPr>
      </w:pPr>
      <w:r w:rsidRPr="004B31EE">
        <w:rPr>
          <w:b/>
        </w:rPr>
        <w:lastRenderedPageBreak/>
        <w:t xml:space="preserve">If central budgets (e.g. campus reserve, overhead tax, utilities, real estate) produce carryover funds, are </w:t>
      </w:r>
      <w:r w:rsidR="002906A9" w:rsidRPr="004B31EE">
        <w:rPr>
          <w:b/>
        </w:rPr>
        <w:t>those</w:t>
      </w:r>
      <w:r w:rsidR="004D5A6E" w:rsidRPr="004B31EE">
        <w:rPr>
          <w:b/>
        </w:rPr>
        <w:t xml:space="preserve"> carryover balances subject to the non-academic unit carryover policy</w:t>
      </w:r>
      <w:r w:rsidRPr="004B31EE">
        <w:rPr>
          <w:b/>
        </w:rPr>
        <w:t>?</w:t>
      </w:r>
    </w:p>
    <w:p w14:paraId="7FECAADE" w14:textId="77777777" w:rsidR="004D5A6E" w:rsidRDefault="004D5A6E" w:rsidP="004B31EE">
      <w:pPr>
        <w:pStyle w:val="ListParagraph"/>
      </w:pPr>
      <w:r>
        <w:t>No, central budgets are not subject to the non-academic unit carryover policy.  Carryover funds in the campus reserve are returned directly to the campus reserve fund.  All other carryover funds from central funds are returned to the overall central funds pool</w:t>
      </w:r>
      <w:r w:rsidR="00073CE4">
        <w:t xml:space="preserve"> to support the expenditures of those budgets.</w:t>
      </w:r>
    </w:p>
    <w:p w14:paraId="35640FFE" w14:textId="77777777" w:rsidR="00073CE4" w:rsidRDefault="00073CE4" w:rsidP="004B31EE">
      <w:pPr>
        <w:pStyle w:val="ListParagraph"/>
      </w:pPr>
    </w:p>
    <w:p w14:paraId="5AC65B2A" w14:textId="77777777" w:rsidR="008E03CA" w:rsidRPr="004B31EE" w:rsidRDefault="008E03CA" w:rsidP="004B31EE">
      <w:pPr>
        <w:pStyle w:val="ListParagraph"/>
        <w:numPr>
          <w:ilvl w:val="0"/>
          <w:numId w:val="7"/>
        </w:numPr>
        <w:rPr>
          <w:b/>
        </w:rPr>
      </w:pPr>
      <w:r w:rsidRPr="004B31EE">
        <w:rPr>
          <w:b/>
        </w:rPr>
        <w:t>Why do academic and non-academic units have separate policies?</w:t>
      </w:r>
    </w:p>
    <w:p w14:paraId="06A43693" w14:textId="77777777" w:rsidR="00073CE4" w:rsidRDefault="00073CE4" w:rsidP="004B31EE">
      <w:pPr>
        <w:pStyle w:val="ListParagraph"/>
      </w:pPr>
      <w:r>
        <w:t>Under an RCM budget model, academic units are expected to be financially self-sustaining in ways that non-academic units are not.  In support of this responsibility, academic units will retain a larger portion of their carryover funds.</w:t>
      </w:r>
    </w:p>
    <w:p w14:paraId="64CE507C" w14:textId="77777777" w:rsidR="00073CE4" w:rsidRDefault="00073CE4" w:rsidP="004B31EE">
      <w:pPr>
        <w:pStyle w:val="ListParagraph"/>
      </w:pPr>
    </w:p>
    <w:p w14:paraId="59F28FE5" w14:textId="77777777" w:rsidR="00073CE4" w:rsidRPr="004B31EE" w:rsidRDefault="008E03CA" w:rsidP="004B31EE">
      <w:pPr>
        <w:pStyle w:val="ListParagraph"/>
        <w:numPr>
          <w:ilvl w:val="0"/>
          <w:numId w:val="7"/>
        </w:numPr>
        <w:rPr>
          <w:b/>
        </w:rPr>
      </w:pPr>
      <w:r w:rsidRPr="004B31EE">
        <w:rPr>
          <w:b/>
        </w:rPr>
        <w:t>What is a university steward budget?</w:t>
      </w:r>
    </w:p>
    <w:p w14:paraId="5FB4A949" w14:textId="212AABED" w:rsidR="00840A36" w:rsidRDefault="00073CE4" w:rsidP="006B306D">
      <w:pPr>
        <w:pStyle w:val="ListParagraph"/>
        <w:spacing w:after="240" w:line="240" w:lineRule="auto"/>
        <w:contextualSpacing w:val="0"/>
      </w:pPr>
      <w:r>
        <w:t xml:space="preserve">A steward budget is a budget operated by a local unit on behalf of the university that covers institutional operational expenditures.  Two examples of steward budgets at UW Bothell are the Equipment Replacement budget in Information Technology and the Collections budget in Library Services.  </w:t>
      </w:r>
      <w:bookmarkStart w:id="0" w:name="_GoBack"/>
      <w:bookmarkEnd w:id="0"/>
    </w:p>
    <w:p w14:paraId="30CF2C10" w14:textId="77777777" w:rsidR="008E03CA" w:rsidRPr="004B31EE" w:rsidRDefault="008E03CA" w:rsidP="004B31EE">
      <w:pPr>
        <w:pStyle w:val="ListParagraph"/>
        <w:numPr>
          <w:ilvl w:val="0"/>
          <w:numId w:val="7"/>
        </w:numPr>
        <w:rPr>
          <w:b/>
        </w:rPr>
      </w:pPr>
      <w:r w:rsidRPr="004B31EE">
        <w:rPr>
          <w:b/>
        </w:rPr>
        <w:t>Why are RCR funds exempt from this policy?</w:t>
      </w:r>
    </w:p>
    <w:p w14:paraId="16DA33C9" w14:textId="77777777" w:rsidR="00073CE4" w:rsidRDefault="00073CE4" w:rsidP="004B31EE">
      <w:pPr>
        <w:pStyle w:val="ListParagraph"/>
      </w:pPr>
      <w:r>
        <w:t xml:space="preserve">Research Cost Recovery </w:t>
      </w:r>
      <w:r w:rsidR="00C12809">
        <w:t xml:space="preserve">(RCR) </w:t>
      </w:r>
      <w:r>
        <w:t xml:space="preserve">funds are resources retained by the University Washington that </w:t>
      </w:r>
      <w:r w:rsidR="002906A9">
        <w:t xml:space="preserve">are expected to </w:t>
      </w:r>
      <w:r>
        <w:t xml:space="preserve">support expenditures associated with the support and administration of research and other sponsored activity at the university.  </w:t>
      </w:r>
      <w:r w:rsidR="002906A9">
        <w:t>Carryover funds retained by the university may not go directly to support those efforts.</w:t>
      </w:r>
    </w:p>
    <w:p w14:paraId="4C0174EB" w14:textId="77777777" w:rsidR="00DA3402" w:rsidRDefault="00DA3402" w:rsidP="004B31EE">
      <w:pPr>
        <w:pStyle w:val="ListParagraph"/>
      </w:pPr>
    </w:p>
    <w:p w14:paraId="6EEF3F79" w14:textId="77777777" w:rsidR="008E03CA" w:rsidRPr="004B31EE" w:rsidRDefault="008E03CA" w:rsidP="004B31EE">
      <w:pPr>
        <w:pStyle w:val="ListParagraph"/>
        <w:numPr>
          <w:ilvl w:val="0"/>
          <w:numId w:val="7"/>
        </w:numPr>
        <w:rPr>
          <w:b/>
        </w:rPr>
      </w:pPr>
      <w:r w:rsidRPr="004B31EE">
        <w:rPr>
          <w:b/>
        </w:rPr>
        <w:t>What happens if there is not enough carryover retained to fill all of the university resources?</w:t>
      </w:r>
    </w:p>
    <w:p w14:paraId="6B62F892" w14:textId="77777777" w:rsidR="00AB0DA0" w:rsidRDefault="00DA3402" w:rsidP="00AD5D5C">
      <w:pPr>
        <w:pStyle w:val="ListParagraph"/>
        <w:spacing w:after="840"/>
      </w:pPr>
      <w:r>
        <w:t>Carryover funds will be allocated to the university resources listed above, in the order listed above, to their full required level.  For example, all carryover funds will be allocated to the campus reserve until the reserve reaches 10% of UWB’s annual state</w:t>
      </w:r>
      <w:r w:rsidR="004B31EE">
        <w:t xml:space="preserve"> operating budget.  If </w:t>
      </w:r>
      <w:r>
        <w:t xml:space="preserve">retained carryover funds </w:t>
      </w:r>
      <w:r w:rsidR="004B31EE">
        <w:t xml:space="preserve">are </w:t>
      </w:r>
      <w:r>
        <w:t>available after filling the campus reserve, those funds will be allocated to cover central UW</w:t>
      </w:r>
      <w:r w:rsidR="000F3B9A">
        <w:t xml:space="preserve"> </w:t>
      </w:r>
      <w:r>
        <w:t>B</w:t>
      </w:r>
      <w:r w:rsidR="000F3B9A">
        <w:t>othell</w:t>
      </w:r>
      <w:r>
        <w:t xml:space="preserve"> costs.  Funds will be allocated in this way until the carryover funds are exhausted.  For example, if the goal of the Investment Fund is to have $2.5M available, and only $0.5M of carryover funds are available after funding the campus reserve and </w:t>
      </w:r>
      <w:r>
        <w:lastRenderedPageBreak/>
        <w:t>central UWB costs, the Invest</w:t>
      </w:r>
      <w:r w:rsidR="00686226">
        <w:t>ment Fund will be allocated the</w:t>
      </w:r>
      <w:r w:rsidR="002906A9">
        <w:t xml:space="preserve"> remaining $0.5M</w:t>
      </w:r>
      <w:r w:rsidR="003604DB">
        <w:t xml:space="preserve"> carryover funds and other funding sources will need to be identified to fully fund the Investment </w:t>
      </w:r>
      <w:r w:rsidR="000F3B9A">
        <w:t>F</w:t>
      </w:r>
      <w:r w:rsidR="003604DB">
        <w:t>und.</w:t>
      </w:r>
    </w:p>
    <w:p w14:paraId="4EE6DD5E" w14:textId="77777777" w:rsidR="00AD5D5C" w:rsidRDefault="00AD5D5C" w:rsidP="00AD5D5C">
      <w:pPr>
        <w:pStyle w:val="ListParagraph"/>
        <w:spacing w:after="840" w:line="240" w:lineRule="auto"/>
        <w:contextualSpacing w:val="0"/>
      </w:pPr>
    </w:p>
    <w:p w14:paraId="09C74162" w14:textId="77777777" w:rsidR="00B26A87" w:rsidRPr="0020725A" w:rsidRDefault="00AD5D5C" w:rsidP="0020725A">
      <w:pPr>
        <w:pStyle w:val="ListParagraph"/>
        <w:spacing w:after="120" w:line="240" w:lineRule="auto"/>
        <w:ind w:left="0"/>
        <w:contextualSpacing w:val="0"/>
        <w:rPr>
          <w:u w:val="single"/>
        </w:rPr>
      </w:pPr>
      <w:r w:rsidRPr="0020725A">
        <w:rPr>
          <w:u w:val="single"/>
        </w:rPr>
        <w:t>Policy Document Timeline</w:t>
      </w:r>
      <w:r w:rsidR="00B26A87" w:rsidRPr="0020725A">
        <w:rPr>
          <w:u w:val="single"/>
        </w:rPr>
        <w:t>:</w:t>
      </w:r>
    </w:p>
    <w:p w14:paraId="3C240519" w14:textId="77777777" w:rsidR="00B26A87" w:rsidRDefault="00B26A87" w:rsidP="00B26A87">
      <w:pPr>
        <w:pStyle w:val="ListParagraph"/>
        <w:spacing w:after="0" w:line="240" w:lineRule="auto"/>
        <w:ind w:left="0"/>
        <w:contextualSpacing w:val="0"/>
      </w:pPr>
      <w:r>
        <w:t>October 18, 2018</w:t>
      </w:r>
      <w:r>
        <w:tab/>
      </w:r>
    </w:p>
    <w:p w14:paraId="4CE46846" w14:textId="77777777" w:rsidR="00AD5D5C" w:rsidRDefault="00B26A87" w:rsidP="00B26A87">
      <w:pPr>
        <w:pStyle w:val="ListParagraph"/>
        <w:numPr>
          <w:ilvl w:val="0"/>
          <w:numId w:val="9"/>
        </w:numPr>
        <w:spacing w:after="0" w:line="240" w:lineRule="auto"/>
        <w:ind w:left="720"/>
        <w:contextualSpacing w:val="0"/>
      </w:pPr>
      <w:r>
        <w:t>Institutional Planning &amp; Budget (IPB) drafts initial recommendation</w:t>
      </w:r>
    </w:p>
    <w:p w14:paraId="71811740" w14:textId="77777777" w:rsidR="00B26A87" w:rsidRDefault="00B26A87" w:rsidP="00B26A87">
      <w:pPr>
        <w:pStyle w:val="ListParagraph"/>
        <w:numPr>
          <w:ilvl w:val="0"/>
          <w:numId w:val="9"/>
        </w:numPr>
        <w:spacing w:after="0" w:line="240" w:lineRule="auto"/>
        <w:ind w:left="720"/>
        <w:contextualSpacing w:val="0"/>
      </w:pPr>
      <w:r>
        <w:t>IPB solicits feedback from campus leadership</w:t>
      </w:r>
    </w:p>
    <w:p w14:paraId="0065D995" w14:textId="77777777" w:rsidR="00B26A87" w:rsidRDefault="00B26A87" w:rsidP="00B26A87">
      <w:pPr>
        <w:spacing w:after="0" w:line="240" w:lineRule="auto"/>
      </w:pPr>
      <w:r>
        <w:t>November 14, 2018</w:t>
      </w:r>
    </w:p>
    <w:p w14:paraId="5E58C8D2" w14:textId="77777777" w:rsidR="00B26A87" w:rsidRDefault="00B26A87" w:rsidP="00B26A87">
      <w:pPr>
        <w:pStyle w:val="ListParagraph"/>
        <w:numPr>
          <w:ilvl w:val="0"/>
          <w:numId w:val="10"/>
        </w:numPr>
        <w:spacing w:after="0" w:line="240" w:lineRule="auto"/>
      </w:pPr>
      <w:r>
        <w:t xml:space="preserve">IPB submits </w:t>
      </w:r>
      <w:r w:rsidR="0020725A">
        <w:t>policy recommendation to Chancellor</w:t>
      </w:r>
    </w:p>
    <w:p w14:paraId="0F1D1A21" w14:textId="77777777" w:rsidR="0020725A" w:rsidRDefault="0020725A" w:rsidP="0020725A">
      <w:pPr>
        <w:spacing w:after="0" w:line="240" w:lineRule="auto"/>
      </w:pPr>
      <w:r>
        <w:t>January 4, 2019</w:t>
      </w:r>
    </w:p>
    <w:p w14:paraId="6A800CD2" w14:textId="77777777" w:rsidR="0020725A" w:rsidRDefault="0020725A" w:rsidP="0020725A">
      <w:pPr>
        <w:pStyle w:val="ListParagraph"/>
        <w:numPr>
          <w:ilvl w:val="0"/>
          <w:numId w:val="10"/>
        </w:numPr>
        <w:spacing w:after="0" w:line="240" w:lineRule="auto"/>
      </w:pPr>
      <w:r>
        <w:t>Chancellor approves Policy</w:t>
      </w:r>
    </w:p>
    <w:sectPr w:rsidR="002072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DD663" w14:textId="77777777" w:rsidR="00662CA9" w:rsidRDefault="00662CA9" w:rsidP="00125C88">
      <w:pPr>
        <w:spacing w:after="0" w:line="240" w:lineRule="auto"/>
      </w:pPr>
      <w:r>
        <w:separator/>
      </w:r>
    </w:p>
  </w:endnote>
  <w:endnote w:type="continuationSeparator" w:id="0">
    <w:p w14:paraId="42D10B43" w14:textId="77777777" w:rsidR="00662CA9" w:rsidRDefault="00662CA9" w:rsidP="0012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B2AA3" w14:textId="77777777" w:rsidR="00662CA9" w:rsidRDefault="00662CA9" w:rsidP="00125C88">
      <w:pPr>
        <w:spacing w:after="0" w:line="240" w:lineRule="auto"/>
      </w:pPr>
      <w:r>
        <w:separator/>
      </w:r>
    </w:p>
  </w:footnote>
  <w:footnote w:type="continuationSeparator" w:id="0">
    <w:p w14:paraId="429DEFF6" w14:textId="77777777" w:rsidR="00662CA9" w:rsidRDefault="00662CA9" w:rsidP="00125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1334"/>
    <w:multiLevelType w:val="hybridMultilevel"/>
    <w:tmpl w:val="A8FC6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86562"/>
    <w:multiLevelType w:val="hybridMultilevel"/>
    <w:tmpl w:val="5B487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F0197"/>
    <w:multiLevelType w:val="hybridMultilevel"/>
    <w:tmpl w:val="372E3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D46DA"/>
    <w:multiLevelType w:val="hybridMultilevel"/>
    <w:tmpl w:val="C670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22262"/>
    <w:multiLevelType w:val="hybridMultilevel"/>
    <w:tmpl w:val="800CB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C5636"/>
    <w:multiLevelType w:val="hybridMultilevel"/>
    <w:tmpl w:val="2C3A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678D2"/>
    <w:multiLevelType w:val="hybridMultilevel"/>
    <w:tmpl w:val="E996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1170B"/>
    <w:multiLevelType w:val="hybridMultilevel"/>
    <w:tmpl w:val="6DC80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431DE2"/>
    <w:multiLevelType w:val="hybridMultilevel"/>
    <w:tmpl w:val="982AE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405498"/>
    <w:multiLevelType w:val="hybridMultilevel"/>
    <w:tmpl w:val="2130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4"/>
  </w:num>
  <w:num w:numId="6">
    <w:abstractNumId w:val="1"/>
  </w:num>
  <w:num w:numId="7">
    <w:abstractNumId w:val="2"/>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A9"/>
    <w:rsid w:val="00073CE4"/>
    <w:rsid w:val="000F3B9A"/>
    <w:rsid w:val="00107518"/>
    <w:rsid w:val="00125C88"/>
    <w:rsid w:val="001D77D6"/>
    <w:rsid w:val="0020725A"/>
    <w:rsid w:val="00227773"/>
    <w:rsid w:val="002565CA"/>
    <w:rsid w:val="002906A9"/>
    <w:rsid w:val="002B5164"/>
    <w:rsid w:val="003604DB"/>
    <w:rsid w:val="00362D38"/>
    <w:rsid w:val="00406274"/>
    <w:rsid w:val="00410D25"/>
    <w:rsid w:val="00455D65"/>
    <w:rsid w:val="004B31EE"/>
    <w:rsid w:val="004D5A6E"/>
    <w:rsid w:val="005528CD"/>
    <w:rsid w:val="00563189"/>
    <w:rsid w:val="005B3C53"/>
    <w:rsid w:val="00662CA9"/>
    <w:rsid w:val="00686226"/>
    <w:rsid w:val="006A6AF7"/>
    <w:rsid w:val="006B306D"/>
    <w:rsid w:val="00767C15"/>
    <w:rsid w:val="00834DE1"/>
    <w:rsid w:val="008359B7"/>
    <w:rsid w:val="00840A36"/>
    <w:rsid w:val="008505D2"/>
    <w:rsid w:val="008834A9"/>
    <w:rsid w:val="0089084A"/>
    <w:rsid w:val="008E03CA"/>
    <w:rsid w:val="0096346E"/>
    <w:rsid w:val="009C505E"/>
    <w:rsid w:val="009F12AE"/>
    <w:rsid w:val="009F7B39"/>
    <w:rsid w:val="00A71507"/>
    <w:rsid w:val="00AB0DA0"/>
    <w:rsid w:val="00AC5A9A"/>
    <w:rsid w:val="00AD5D5C"/>
    <w:rsid w:val="00B26A87"/>
    <w:rsid w:val="00B90840"/>
    <w:rsid w:val="00C12809"/>
    <w:rsid w:val="00C42923"/>
    <w:rsid w:val="00C624AB"/>
    <w:rsid w:val="00D77C31"/>
    <w:rsid w:val="00DA3402"/>
    <w:rsid w:val="00E22356"/>
    <w:rsid w:val="00E256AE"/>
    <w:rsid w:val="00E528D1"/>
    <w:rsid w:val="00FD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C4AE23"/>
  <w15:chartTrackingRefBased/>
  <w15:docId w15:val="{B137E2A6-5D70-4E1E-8942-3093C8E0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D38"/>
    <w:pPr>
      <w:ind w:left="720"/>
      <w:contextualSpacing/>
    </w:pPr>
  </w:style>
  <w:style w:type="table" w:styleId="TableGrid">
    <w:name w:val="Table Grid"/>
    <w:basedOn w:val="TableNormal"/>
    <w:uiPriority w:val="39"/>
    <w:rsid w:val="00A71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8D1"/>
    <w:rPr>
      <w:color w:val="0563C1" w:themeColor="hyperlink"/>
      <w:u w:val="single"/>
    </w:rPr>
  </w:style>
  <w:style w:type="character" w:styleId="FollowedHyperlink">
    <w:name w:val="FollowedHyperlink"/>
    <w:basedOn w:val="DefaultParagraphFont"/>
    <w:uiPriority w:val="99"/>
    <w:semiHidden/>
    <w:unhideWhenUsed/>
    <w:rsid w:val="00E528D1"/>
    <w:rPr>
      <w:color w:val="954F72" w:themeColor="followedHyperlink"/>
      <w:u w:val="single"/>
    </w:rPr>
  </w:style>
  <w:style w:type="paragraph" w:styleId="Header">
    <w:name w:val="header"/>
    <w:basedOn w:val="Normal"/>
    <w:link w:val="HeaderChar"/>
    <w:uiPriority w:val="99"/>
    <w:unhideWhenUsed/>
    <w:rsid w:val="00125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C88"/>
  </w:style>
  <w:style w:type="paragraph" w:styleId="Footer">
    <w:name w:val="footer"/>
    <w:basedOn w:val="Normal"/>
    <w:link w:val="FooterChar"/>
    <w:uiPriority w:val="99"/>
    <w:unhideWhenUsed/>
    <w:rsid w:val="00125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C88"/>
  </w:style>
  <w:style w:type="paragraph" w:styleId="BalloonText">
    <w:name w:val="Balloon Text"/>
    <w:basedOn w:val="Normal"/>
    <w:link w:val="BalloonTextChar"/>
    <w:uiPriority w:val="99"/>
    <w:semiHidden/>
    <w:unhideWhenUsed/>
    <w:rsid w:val="006A6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b.edu/getattachment/planning-administration/planning-budget/budget-recalibration/policy-and-decisions/UWB-Deficit-Policy-ACC.docx?lang=en-US" TargetMode="External"/><Relationship Id="rId3" Type="http://schemas.openxmlformats.org/officeDocument/2006/relationships/settings" Target="settings.xml"/><Relationship Id="rId7" Type="http://schemas.openxmlformats.org/officeDocument/2006/relationships/hyperlink" Target="http://www.uwb.edu/getattachment/planning-administration/planning-budget/budget-recalibration/policy-and-decisions/UWB-Deficit-Policy-ACC.docx?lang=en-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1172</Words>
  <Characters>6686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Adams</dc:creator>
  <cp:keywords/>
  <dc:description/>
  <cp:lastModifiedBy>Amanda J Kim</cp:lastModifiedBy>
  <cp:revision>2</cp:revision>
  <cp:lastPrinted>2018-10-29T20:03:00Z</cp:lastPrinted>
  <dcterms:created xsi:type="dcterms:W3CDTF">2019-01-09T22:56:00Z</dcterms:created>
  <dcterms:modified xsi:type="dcterms:W3CDTF">2019-01-09T22:56:00Z</dcterms:modified>
</cp:coreProperties>
</file>