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14" w:rsidRPr="002125CB" w:rsidRDefault="002E3514" w:rsidP="00EC6E63">
      <w:pPr>
        <w:pStyle w:val="Title"/>
        <w:rPr>
          <w:rFonts w:ascii="Open Sans" w:hAnsi="Open Sans" w:cs="Open Sans"/>
        </w:rPr>
      </w:pPr>
      <w:r w:rsidRPr="002125CB">
        <w:rPr>
          <w:rFonts w:ascii="Open Sans" w:hAnsi="Open Sans" w:cs="Open Sans"/>
          <w:noProof/>
        </w:rPr>
        <w:drawing>
          <wp:inline distT="0" distB="0" distL="0" distR="0">
            <wp:extent cx="5943600" cy="601980"/>
            <wp:effectExtent l="0" t="0" r="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B_Career Services_logo_Left_approved by MARCOM_April,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63" w:rsidRPr="002125CB" w:rsidRDefault="00EC6E63" w:rsidP="00EC6E63">
      <w:pPr>
        <w:pStyle w:val="Title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Pre-Health Advising Syllabus</w:t>
      </w:r>
    </w:p>
    <w:p w:rsidR="00EC6E63" w:rsidRPr="002125CB" w:rsidRDefault="00EC6E63" w:rsidP="00EC6E63">
      <w:pPr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University of Washington Bothell | uwb.edu/career-services/</w:t>
      </w:r>
      <w:proofErr w:type="spellStart"/>
      <w:r w:rsidRPr="002125CB">
        <w:rPr>
          <w:rFonts w:ascii="Open Sans" w:hAnsi="Open Sans" w:cs="Open Sans"/>
        </w:rPr>
        <w:t>pre-health</w:t>
      </w:r>
      <w:proofErr w:type="spellEnd"/>
    </w:p>
    <w:p w:rsidR="002E3514" w:rsidRPr="002125CB" w:rsidRDefault="002E3514" w:rsidP="002E3514">
      <w:pPr>
        <w:pStyle w:val="Heading1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UWB Mission &amp; Vision</w:t>
      </w:r>
    </w:p>
    <w:p w:rsidR="002E3514" w:rsidRPr="002E3514" w:rsidRDefault="002E3514" w:rsidP="002E3514">
      <w:pPr>
        <w:spacing w:before="100" w:beforeAutospacing="1" w:after="100" w:afterAutospacing="1" w:line="33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UW Bothell holds the student-faculty relationship to be</w:t>
      </w:r>
      <w:bookmarkStart w:id="0" w:name="_GoBack"/>
      <w:bookmarkEnd w:id="0"/>
      <w:r w:rsidRPr="002125CB">
        <w:rPr>
          <w:rFonts w:ascii="Open Sans" w:hAnsi="Open Sans" w:cs="Open Sans"/>
        </w:rPr>
        <w:t xml:space="preserve"> paramount. We provide access to excellence in higher education through innovative and creative curricula, interdisciplinary teaching and research, and a dynamic community of multicultural learning.</w:t>
      </w:r>
    </w:p>
    <w:p w:rsidR="002E3514" w:rsidRPr="002E3514" w:rsidRDefault="002E3514" w:rsidP="002E3514">
      <w:pPr>
        <w:spacing w:before="100" w:beforeAutospacing="1" w:after="100" w:afterAutospacing="1" w:line="33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The University of Washington Bothell will be a transformational learning community. We will serve as a catalyst to enhance the quality of life throughout our region.</w:t>
      </w:r>
    </w:p>
    <w:p w:rsidR="002E3514" w:rsidRPr="002E3514" w:rsidRDefault="002E3514" w:rsidP="002E3514">
      <w:pPr>
        <w:spacing w:before="100" w:beforeAutospacing="1" w:after="100" w:afterAutospacing="1" w:line="33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Pre-Health Advising aligns with the UWB mission and vision by empowering future healthcare leaders and aiding them on their paths to impact health in our region and beyond.</w:t>
      </w:r>
    </w:p>
    <w:p w:rsidR="00EC6E63" w:rsidRPr="002125CB" w:rsidRDefault="002E3514" w:rsidP="002E3514">
      <w:pPr>
        <w:pStyle w:val="Heading1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Pre-Health Advising Mission</w:t>
      </w:r>
    </w:p>
    <w:p w:rsidR="002E3514" w:rsidRPr="002125CB" w:rsidRDefault="002E3514" w:rsidP="002E3514">
      <w:pPr>
        <w:pStyle w:val="04xlpa"/>
        <w:spacing w:line="330" w:lineRule="atLeast"/>
        <w:rPr>
          <w:rFonts w:ascii="Open Sans" w:eastAsiaTheme="minorHAnsi" w:hAnsi="Open Sans" w:cs="Open Sans"/>
          <w:sz w:val="22"/>
          <w:szCs w:val="22"/>
        </w:rPr>
      </w:pPr>
      <w:r w:rsidRPr="002125CB">
        <w:rPr>
          <w:rFonts w:ascii="Open Sans" w:eastAsiaTheme="minorHAnsi" w:hAnsi="Open Sans" w:cs="Open Sans"/>
          <w:sz w:val="22"/>
          <w:szCs w:val="22"/>
        </w:rPr>
        <w:t>Pre-Health Advising provides coaching for students pursuing careers in healthcare, including those that require graduate programs in medical, dental, pharmacy, veterinary, &amp; other fields.</w:t>
      </w:r>
    </w:p>
    <w:p w:rsidR="002E3514" w:rsidRPr="002125CB" w:rsidRDefault="002E3514" w:rsidP="002E3514">
      <w:pPr>
        <w:pStyle w:val="04xlpa"/>
        <w:spacing w:line="330" w:lineRule="atLeast"/>
        <w:rPr>
          <w:rFonts w:ascii="Open Sans" w:eastAsiaTheme="minorHAnsi" w:hAnsi="Open Sans" w:cs="Open Sans"/>
          <w:sz w:val="22"/>
          <w:szCs w:val="22"/>
        </w:rPr>
      </w:pPr>
      <w:r w:rsidRPr="002125CB">
        <w:rPr>
          <w:rFonts w:ascii="Open Sans" w:eastAsiaTheme="minorHAnsi" w:hAnsi="Open Sans" w:cs="Open Sans"/>
          <w:sz w:val="22"/>
          <w:szCs w:val="22"/>
        </w:rPr>
        <w:t>Pre-Health Advising seeks to help determine alignment with a career in health, to provide learning in how to be a competitive applicant for jobs and graduate schools, &amp; outlining those application processes including preparation for entrance exams where needed.</w:t>
      </w:r>
    </w:p>
    <w:p w:rsidR="002E3514" w:rsidRPr="002125CB" w:rsidRDefault="002E3514" w:rsidP="002E3514">
      <w:pPr>
        <w:pStyle w:val="Heading1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Learning Outcomes</w:t>
      </w:r>
    </w:p>
    <w:p w:rsidR="002E3514" w:rsidRPr="002E3514" w:rsidRDefault="002E3514" w:rsidP="002E3514">
      <w:pPr>
        <w:spacing w:before="100" w:beforeAutospacing="1" w:after="100" w:afterAutospacing="1" w:line="45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By utilizing Pre-Health Advising resources, you will be able to:</w:t>
      </w:r>
    </w:p>
    <w:p w:rsidR="002E3514" w:rsidRPr="002E3514" w:rsidRDefault="002E3514" w:rsidP="002E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EXPLORE what a career in health might look like for you</w:t>
      </w:r>
    </w:p>
    <w:p w:rsidR="002E3514" w:rsidRPr="002E3514" w:rsidRDefault="002E3514" w:rsidP="002E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PREPARE for the journey toward your chosen field</w:t>
      </w:r>
    </w:p>
    <w:p w:rsidR="002E3514" w:rsidRPr="002E3514" w:rsidRDefault="002E3514" w:rsidP="002E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APPLY with confidence in the skills you established in the Explore and Prepare phases.</w:t>
      </w:r>
    </w:p>
    <w:p w:rsidR="002E3514" w:rsidRPr="002125CB" w:rsidRDefault="002E3514" w:rsidP="002E3514">
      <w:pPr>
        <w:pStyle w:val="Heading1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lastRenderedPageBreak/>
        <w:t>Advisor &amp; Student Responsibilities</w:t>
      </w:r>
    </w:p>
    <w:p w:rsidR="002E3514" w:rsidRPr="002125CB" w:rsidRDefault="002E3514" w:rsidP="002E3514">
      <w:pPr>
        <w:spacing w:before="100" w:beforeAutospacing="1" w:after="100" w:afterAutospacing="1" w:line="33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Prepare to engage with Pre-Health Advising to benefit from this campus resource.</w:t>
      </w:r>
    </w:p>
    <w:p w:rsidR="002E3514" w:rsidRPr="002E3514" w:rsidRDefault="002E3514" w:rsidP="002E3514">
      <w:pPr>
        <w:spacing w:before="100" w:beforeAutospacing="1" w:after="100" w:afterAutospacing="1" w:line="48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Your Pre-Health Advisor serves as a resource and provides you with the tools needed for your journey to a career in healthcare.</w:t>
      </w:r>
    </w:p>
    <w:p w:rsidR="002E3514" w:rsidRPr="002E3514" w:rsidRDefault="002E3514" w:rsidP="002E3514">
      <w:pPr>
        <w:spacing w:before="100" w:beforeAutospacing="1" w:after="100" w:afterAutospacing="1" w:line="48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You can expect:</w:t>
      </w:r>
    </w:p>
    <w:p w:rsidR="002E3514" w:rsidRPr="002E3514" w:rsidRDefault="002E3514" w:rsidP="002E3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to receive a response within 1-2 business days when you reach out via phone or email;</w:t>
      </w:r>
    </w:p>
    <w:p w:rsidR="002E3514" w:rsidRPr="002E3514" w:rsidRDefault="002E3514" w:rsidP="002E3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to receive assignments/exercises aimed toward developing skills needed for your path ahead;</w:t>
      </w:r>
    </w:p>
    <w:p w:rsidR="002E3514" w:rsidRPr="002E3514" w:rsidRDefault="002E3514" w:rsidP="002E3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to receive guidance on and resources for completing assignments/exercises.</w:t>
      </w:r>
    </w:p>
    <w:p w:rsidR="002E3514" w:rsidRPr="002E3514" w:rsidRDefault="002E3514" w:rsidP="002E3514">
      <w:pPr>
        <w:spacing w:before="100" w:beforeAutospacing="1" w:after="100" w:afterAutospacing="1" w:line="480" w:lineRule="atLeast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Engage with Pre-Health Advising by:</w:t>
      </w:r>
    </w:p>
    <w:p w:rsidR="002E3514" w:rsidRPr="002E3514" w:rsidRDefault="002E3514" w:rsidP="002E35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 xml:space="preserve">emailing us at </w:t>
      </w:r>
      <w:hyperlink r:id="rId6" w:tgtFrame="_blank" w:history="1">
        <w:r w:rsidRPr="002125CB">
          <w:rPr>
            <w:rFonts w:ascii="Open Sans" w:hAnsi="Open Sans" w:cs="Open Sans"/>
          </w:rPr>
          <w:t>uwbprehealth@uw.edu</w:t>
        </w:r>
      </w:hyperlink>
      <w:r w:rsidRPr="002125CB">
        <w:rPr>
          <w:rFonts w:ascii="Open Sans" w:hAnsi="Open Sans" w:cs="Open Sans"/>
        </w:rPr>
        <w:t>;</w:t>
      </w:r>
    </w:p>
    <w:p w:rsidR="002E3514" w:rsidRPr="002E3514" w:rsidRDefault="002E3514" w:rsidP="002E35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hyperlink r:id="rId7" w:tgtFrame="_blank" w:history="1">
        <w:r w:rsidRPr="002125CB">
          <w:rPr>
            <w:rFonts w:ascii="Open Sans" w:hAnsi="Open Sans" w:cs="Open Sans"/>
          </w:rPr>
          <w:t>scheduling appointments</w:t>
        </w:r>
      </w:hyperlink>
      <w:r w:rsidRPr="002125CB">
        <w:rPr>
          <w:rFonts w:ascii="Open Sans" w:hAnsi="Open Sans" w:cs="Open Sans"/>
        </w:rPr>
        <w:t>;</w:t>
      </w:r>
    </w:p>
    <w:p w:rsidR="002E3514" w:rsidRPr="002E3514" w:rsidRDefault="002E3514" w:rsidP="002E35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125CB">
        <w:rPr>
          <w:rFonts w:ascii="Open Sans" w:hAnsi="Open Sans" w:cs="Open Sans"/>
        </w:rPr>
        <w:t>making progress on assignments/ exercises to inform future appointments and communications.</w:t>
      </w:r>
    </w:p>
    <w:p w:rsidR="002E3514" w:rsidRPr="002125CB" w:rsidRDefault="002E3514" w:rsidP="002E3514">
      <w:pPr>
        <w:pStyle w:val="Heading1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Assignments/Exercises</w:t>
      </w:r>
    </w:p>
    <w:p w:rsidR="002E3514" w:rsidRPr="002125CB" w:rsidRDefault="002E3514" w:rsidP="002E3514">
      <w:pPr>
        <w:spacing w:before="100" w:beforeAutospacing="1" w:after="100" w:afterAutospacing="1" w:line="330" w:lineRule="atLeast"/>
        <w:rPr>
          <w:rStyle w:val="wdyuqq"/>
          <w:rFonts w:ascii="Open Sans" w:hAnsi="Open Sans" w:cs="Open Sans"/>
        </w:rPr>
      </w:pPr>
      <w:r w:rsidRPr="002125CB">
        <w:rPr>
          <w:rStyle w:val="wdyuqq"/>
          <w:rFonts w:ascii="Open Sans" w:hAnsi="Open Sans" w:cs="Open Sans"/>
        </w:rPr>
        <w:t>The following are examples of exercises you might be assigned in Pre-Health Advising.</w:t>
      </w:r>
    </w:p>
    <w:p w:rsidR="002E3514" w:rsidRPr="002125CB" w:rsidRDefault="002E3514" w:rsidP="002E3514">
      <w:pPr>
        <w:pStyle w:val="Heading2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Journal</w:t>
      </w:r>
    </w:p>
    <w:p w:rsidR="002E3514" w:rsidRPr="002125CB" w:rsidRDefault="002E3514" w:rsidP="002E3514">
      <w:pPr>
        <w:rPr>
          <w:rStyle w:val="wdyuqq"/>
          <w:rFonts w:ascii="Open Sans" w:hAnsi="Open Sans" w:cs="Open Sans"/>
        </w:rPr>
      </w:pPr>
      <w:r w:rsidRPr="002125CB">
        <w:rPr>
          <w:rStyle w:val="wdyuqq"/>
          <w:rFonts w:ascii="Open Sans" w:hAnsi="Open Sans" w:cs="Open Sans"/>
        </w:rPr>
        <w:t>A log of your career journey will be an invaluable resource. Tracking dates, contacts, and reflections will help you log your experiences, build your network, and inspire future cover letters &amp; personal statements.</w:t>
      </w:r>
    </w:p>
    <w:p w:rsidR="002E3514" w:rsidRPr="002125CB" w:rsidRDefault="002E3514" w:rsidP="002E3514">
      <w:pPr>
        <w:pStyle w:val="Heading2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Informational Interviews</w:t>
      </w:r>
    </w:p>
    <w:p w:rsidR="002E3514" w:rsidRPr="002125CB" w:rsidRDefault="002E3514" w:rsidP="002E3514">
      <w:pPr>
        <w:rPr>
          <w:rStyle w:val="wdyuqq"/>
          <w:rFonts w:ascii="Open Sans" w:hAnsi="Open Sans" w:cs="Open Sans"/>
        </w:rPr>
      </w:pPr>
      <w:r w:rsidRPr="002125CB">
        <w:rPr>
          <w:rStyle w:val="wdyuqq"/>
          <w:rFonts w:ascii="Open Sans" w:hAnsi="Open Sans" w:cs="Open Sans"/>
        </w:rPr>
        <w:t>Reaching out to those in the field you are considering will mine potential mentors and shadowing opportunities. It will also help you determine how their paths might influence your own.</w:t>
      </w:r>
    </w:p>
    <w:p w:rsidR="002E3514" w:rsidRPr="002125CB" w:rsidRDefault="002E3514" w:rsidP="002E3514">
      <w:pPr>
        <w:pStyle w:val="Heading2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Graduate/Professional School Shortlist</w:t>
      </w:r>
    </w:p>
    <w:p w:rsidR="002E3514" w:rsidRPr="002125CB" w:rsidRDefault="002E3514" w:rsidP="002E3514">
      <w:pPr>
        <w:rPr>
          <w:rStyle w:val="wdyuqq"/>
          <w:rFonts w:ascii="Open Sans" w:hAnsi="Open Sans" w:cs="Open Sans"/>
        </w:rPr>
      </w:pPr>
      <w:r w:rsidRPr="002125CB">
        <w:rPr>
          <w:rStyle w:val="wdyuqq"/>
          <w:rFonts w:ascii="Open Sans" w:hAnsi="Open Sans" w:cs="Open Sans"/>
        </w:rPr>
        <w:t xml:space="preserve">Creating a shortlist of </w:t>
      </w:r>
      <w:proofErr w:type="gramStart"/>
      <w:r w:rsidRPr="002125CB">
        <w:rPr>
          <w:rStyle w:val="wdyuqq"/>
          <w:rFonts w:ascii="Open Sans" w:hAnsi="Open Sans" w:cs="Open Sans"/>
        </w:rPr>
        <w:t>schools</w:t>
      </w:r>
      <w:proofErr w:type="gramEnd"/>
      <w:r w:rsidRPr="002125CB">
        <w:rPr>
          <w:rStyle w:val="wdyuqq"/>
          <w:rFonts w:ascii="Open Sans" w:hAnsi="Open Sans" w:cs="Open Sans"/>
        </w:rPr>
        <w:t xml:space="preserve"> you're interested in will prepare you for applications. Consider the programs' mission and vision statements to measure them against your own. </w:t>
      </w:r>
      <w:r w:rsidRPr="002125CB">
        <w:rPr>
          <w:rStyle w:val="wdyuqq"/>
          <w:rFonts w:ascii="Open Sans" w:hAnsi="Open Sans" w:cs="Open Sans"/>
        </w:rPr>
        <w:lastRenderedPageBreak/>
        <w:t>Determine alignment as well as feasibility in considering which graduate program you will attend.</w:t>
      </w:r>
    </w:p>
    <w:p w:rsidR="002E3514" w:rsidRPr="002125CB" w:rsidRDefault="002E3514" w:rsidP="002E3514">
      <w:pPr>
        <w:pStyle w:val="Heading1"/>
        <w:rPr>
          <w:rFonts w:ascii="Open Sans" w:hAnsi="Open Sans" w:cs="Open Sans"/>
          <w:color w:val="auto"/>
        </w:rPr>
      </w:pPr>
      <w:r w:rsidRPr="002125CB">
        <w:rPr>
          <w:rFonts w:ascii="Open Sans" w:hAnsi="Open Sans" w:cs="Open Sans"/>
          <w:color w:val="auto"/>
        </w:rPr>
        <w:t>Helpful Web Links</w:t>
      </w:r>
    </w:p>
    <w:p w:rsidR="002E3514" w:rsidRPr="002E3514" w:rsidRDefault="002E3514" w:rsidP="002E3514">
      <w:pPr>
        <w:spacing w:before="100" w:beforeAutospacing="1" w:after="100" w:afterAutospacing="1" w:line="390" w:lineRule="atLeast"/>
        <w:rPr>
          <w:rFonts w:ascii="Open Sans" w:eastAsia="Times New Roman" w:hAnsi="Open Sans" w:cs="Open Sans"/>
          <w:spacing w:val="6"/>
          <w:sz w:val="24"/>
          <w:szCs w:val="24"/>
        </w:rPr>
      </w:pPr>
      <w:hyperlink r:id="rId8" w:tgtFrame="_blank" w:history="1"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UWB Pre-Health Advising</w:t>
        </w:r>
      </w:hyperlink>
    </w:p>
    <w:p w:rsidR="002E3514" w:rsidRPr="002E3514" w:rsidRDefault="002E3514" w:rsidP="002E3514">
      <w:pPr>
        <w:spacing w:before="100" w:beforeAutospacing="1" w:after="100" w:afterAutospacing="1" w:line="390" w:lineRule="atLeast"/>
        <w:rPr>
          <w:rFonts w:ascii="Open Sans" w:eastAsia="Times New Roman" w:hAnsi="Open Sans" w:cs="Open Sans"/>
          <w:spacing w:val="6"/>
          <w:sz w:val="24"/>
          <w:szCs w:val="24"/>
        </w:rPr>
      </w:pPr>
      <w:hyperlink r:id="rId9" w:tgtFrame="_blank" w:history="1"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UWB Career Services</w:t>
        </w:r>
      </w:hyperlink>
    </w:p>
    <w:p w:rsidR="002E3514" w:rsidRPr="002E3514" w:rsidRDefault="002E3514" w:rsidP="002E3514">
      <w:pPr>
        <w:spacing w:before="100" w:beforeAutospacing="1" w:after="100" w:afterAutospacing="1" w:line="390" w:lineRule="atLeast"/>
        <w:rPr>
          <w:rFonts w:ascii="Open Sans" w:eastAsia="Times New Roman" w:hAnsi="Open Sans" w:cs="Open Sans"/>
          <w:spacing w:val="6"/>
          <w:sz w:val="24"/>
          <w:szCs w:val="24"/>
        </w:rPr>
      </w:pPr>
      <w:hyperlink r:id="rId10" w:tgtFrame="_blank" w:history="1"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Explore Health Careers</w:t>
        </w:r>
      </w:hyperlink>
    </w:p>
    <w:p w:rsidR="002E3514" w:rsidRPr="002E3514" w:rsidRDefault="002E3514" w:rsidP="002E3514">
      <w:pPr>
        <w:spacing w:before="100" w:beforeAutospacing="1" w:after="100" w:afterAutospacing="1" w:line="390" w:lineRule="atLeast"/>
        <w:rPr>
          <w:rFonts w:ascii="Open Sans" w:eastAsia="Times New Roman" w:hAnsi="Open Sans" w:cs="Open Sans"/>
          <w:spacing w:val="6"/>
          <w:sz w:val="24"/>
          <w:szCs w:val="24"/>
        </w:rPr>
      </w:pPr>
      <w:hyperlink r:id="rId11" w:tgtFrame="_blank" w:history="1"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Association of American Medical Colleges (AAMC)</w:t>
        </w:r>
      </w:hyperlink>
    </w:p>
    <w:p w:rsidR="002E3514" w:rsidRPr="002E3514" w:rsidRDefault="002E3514" w:rsidP="002E3514">
      <w:pPr>
        <w:spacing w:before="100" w:beforeAutospacing="1" w:after="100" w:afterAutospacing="1" w:line="390" w:lineRule="atLeast"/>
        <w:rPr>
          <w:rFonts w:ascii="Open Sans" w:eastAsia="Times New Roman" w:hAnsi="Open Sans" w:cs="Open Sans"/>
          <w:spacing w:val="6"/>
          <w:sz w:val="24"/>
          <w:szCs w:val="24"/>
        </w:rPr>
      </w:pPr>
      <w:hyperlink r:id="rId12" w:tgtFrame="_blank" w:history="1"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American Association of Colleges of Osteopathic Medicine (AACOM)</w:t>
        </w:r>
      </w:hyperlink>
    </w:p>
    <w:p w:rsidR="002E3514" w:rsidRPr="002E3514" w:rsidRDefault="002E3514" w:rsidP="002E3514">
      <w:pPr>
        <w:spacing w:before="100" w:beforeAutospacing="1" w:after="100" w:afterAutospacing="1" w:line="390" w:lineRule="atLeast"/>
        <w:rPr>
          <w:rFonts w:ascii="Open Sans" w:eastAsia="Times New Roman" w:hAnsi="Open Sans" w:cs="Open Sans"/>
          <w:spacing w:val="6"/>
          <w:sz w:val="24"/>
          <w:szCs w:val="24"/>
        </w:rPr>
      </w:pPr>
      <w:hyperlink r:id="rId13" w:tgtFrame="_blank" w:history="1"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American Dental Education Association</w:t>
        </w:r>
      </w:hyperlink>
      <w:r w:rsidRPr="002125CB">
        <w:rPr>
          <w:rFonts w:ascii="Open Sans" w:eastAsia="Times New Roman" w:hAnsi="Open Sans" w:cs="Open Sans"/>
          <w:spacing w:val="6"/>
          <w:sz w:val="24"/>
          <w:szCs w:val="24"/>
        </w:rPr>
        <w:t xml:space="preserve"> (ADEA)</w:t>
      </w:r>
    </w:p>
    <w:p w:rsidR="002E3514" w:rsidRPr="002E3514" w:rsidRDefault="002E3514" w:rsidP="002E3514">
      <w:pPr>
        <w:spacing w:before="100" w:beforeAutospacing="1" w:after="100" w:afterAutospacing="1" w:line="390" w:lineRule="atLeast"/>
        <w:rPr>
          <w:rFonts w:ascii="Open Sans" w:eastAsia="Times New Roman" w:hAnsi="Open Sans" w:cs="Open Sans"/>
          <w:spacing w:val="6"/>
          <w:sz w:val="24"/>
          <w:szCs w:val="24"/>
        </w:rPr>
      </w:pPr>
      <w:hyperlink r:id="rId14" w:tgtFrame="_blank" w:history="1"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Pharmacy College Application Service (</w:t>
        </w:r>
        <w:proofErr w:type="spellStart"/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PharmCAS</w:t>
        </w:r>
        <w:proofErr w:type="spellEnd"/>
        <w:r w:rsidRPr="002125CB">
          <w:rPr>
            <w:rFonts w:ascii="Open Sans" w:eastAsia="Times New Roman" w:hAnsi="Open Sans" w:cs="Open Sans"/>
            <w:spacing w:val="6"/>
            <w:sz w:val="24"/>
            <w:szCs w:val="24"/>
            <w:u w:val="single"/>
          </w:rPr>
          <w:t>)</w:t>
        </w:r>
      </w:hyperlink>
    </w:p>
    <w:p w:rsidR="002E3514" w:rsidRPr="002125CB" w:rsidRDefault="002E3514" w:rsidP="002E3514">
      <w:pPr>
        <w:rPr>
          <w:rFonts w:ascii="Open Sans" w:hAnsi="Open Sans" w:cs="Open Sans"/>
        </w:rPr>
      </w:pPr>
    </w:p>
    <w:sectPr w:rsidR="002E3514" w:rsidRPr="0021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246"/>
    <w:multiLevelType w:val="multilevel"/>
    <w:tmpl w:val="C23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B7335"/>
    <w:multiLevelType w:val="multilevel"/>
    <w:tmpl w:val="3264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A5904"/>
    <w:multiLevelType w:val="multilevel"/>
    <w:tmpl w:val="560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63"/>
    <w:rsid w:val="001C63FC"/>
    <w:rsid w:val="002125CB"/>
    <w:rsid w:val="002E3514"/>
    <w:rsid w:val="00E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949A"/>
  <w15:chartTrackingRefBased/>
  <w15:docId w15:val="{8A1C36B4-4272-42A8-830C-14FAEAB6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6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4xlpa">
    <w:name w:val="_04xlpa"/>
    <w:basedOn w:val="Normal"/>
    <w:rsid w:val="002E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yuqq">
    <w:name w:val="wdyuqq"/>
    <w:basedOn w:val="DefaultParagraphFont"/>
    <w:rsid w:val="002E3514"/>
  </w:style>
  <w:style w:type="character" w:styleId="Hyperlink">
    <w:name w:val="Hyperlink"/>
    <w:basedOn w:val="DefaultParagraphFont"/>
    <w:uiPriority w:val="99"/>
    <w:semiHidden/>
    <w:unhideWhenUsed/>
    <w:rsid w:val="002E35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35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b.edu/pre-health" TargetMode="External"/><Relationship Id="rId13" Type="http://schemas.openxmlformats.org/officeDocument/2006/relationships/hyperlink" Target="https://www.adea.org/GoDental/The_application_to_dental_school__ADEA_AADSA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b.edu/pre-health/contact" TargetMode="External"/><Relationship Id="rId12" Type="http://schemas.openxmlformats.org/officeDocument/2006/relationships/hyperlink" Target="https://www.aaco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wbprehealth@uw.edu" TargetMode="External"/><Relationship Id="rId11" Type="http://schemas.openxmlformats.org/officeDocument/2006/relationships/hyperlink" Target="https://students-residents.aamc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xplorehealthcare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b.edu/careers" TargetMode="External"/><Relationship Id="rId14" Type="http://schemas.openxmlformats.org/officeDocument/2006/relationships/hyperlink" Target="https://www.pharmc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Labrecque</dc:creator>
  <cp:keywords/>
  <dc:description/>
  <cp:lastModifiedBy>Kristen Labrecque</cp:lastModifiedBy>
  <cp:revision>2</cp:revision>
  <dcterms:created xsi:type="dcterms:W3CDTF">2023-07-31T17:11:00Z</dcterms:created>
  <dcterms:modified xsi:type="dcterms:W3CDTF">2023-07-31T17:23:00Z</dcterms:modified>
</cp:coreProperties>
</file>