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54" w:rsidRPr="0034514C" w:rsidRDefault="00D65D78" w:rsidP="0034514C">
      <w:pPr>
        <w:pStyle w:val="Title"/>
        <w:spacing w:before="480"/>
        <w:jc w:val="center"/>
        <w:rPr>
          <w:rFonts w:ascii="Open Sans" w:hAnsi="Open Sans" w:cs="Open Sans"/>
          <w:sz w:val="36"/>
        </w:rPr>
      </w:pPr>
      <w:r w:rsidRPr="0034514C">
        <w:rPr>
          <w:rFonts w:ascii="Open Sans" w:hAnsi="Open Sans" w:cs="Open Sans"/>
          <w:sz w:val="36"/>
        </w:rPr>
        <w:t>One - Page Career Action</w:t>
      </w:r>
      <w:r w:rsidR="00731554" w:rsidRPr="0034514C">
        <w:rPr>
          <w:rFonts w:ascii="Open Sans" w:hAnsi="Open Sans" w:cs="Open Sans"/>
          <w:sz w:val="36"/>
        </w:rPr>
        <w:t xml:space="preserve"> Plan</w:t>
      </w:r>
    </w:p>
    <w:p w:rsidR="00731554" w:rsidRPr="0034514C" w:rsidRDefault="00731554" w:rsidP="00B36B0B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 xml:space="preserve">Name </w:t>
      </w:r>
    </w:p>
    <w:p w:rsidR="00731554" w:rsidRPr="0034514C" w:rsidRDefault="00731554" w:rsidP="00731554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>Telephone number</w:t>
      </w:r>
    </w:p>
    <w:p w:rsidR="007268A1" w:rsidRPr="0034514C" w:rsidRDefault="00731554" w:rsidP="00731554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 xml:space="preserve">E-mail address  </w:t>
      </w:r>
    </w:p>
    <w:p w:rsidR="005A07F5" w:rsidRPr="0034514C" w:rsidRDefault="005A07F5" w:rsidP="005A07F5">
      <w:pPr>
        <w:pStyle w:val="NormalWeb"/>
        <w:rPr>
          <w:rFonts w:ascii="Open Sans" w:hAnsi="Open Sans" w:cs="Open Sans"/>
          <w:b/>
          <w:sz w:val="18"/>
          <w:szCs w:val="20"/>
        </w:rPr>
      </w:pPr>
      <w:r w:rsidRPr="0034514C">
        <w:rPr>
          <w:rFonts w:ascii="Open Sans" w:hAnsi="Open Sans" w:cs="Open Sans"/>
          <w:b/>
          <w:sz w:val="18"/>
          <w:szCs w:val="20"/>
        </w:rPr>
        <w:t>Staff Accountant</w:t>
      </w:r>
      <w:r w:rsidR="004D13E9" w:rsidRPr="0034514C">
        <w:rPr>
          <w:rFonts w:ascii="Open Sans" w:hAnsi="Open Sans" w:cs="Open Sans"/>
          <w:b/>
          <w:sz w:val="18"/>
          <w:szCs w:val="20"/>
        </w:rPr>
        <w:t>/ CP</w:t>
      </w:r>
      <w:r w:rsidR="0034514C">
        <w:rPr>
          <w:rFonts w:ascii="Open Sans" w:hAnsi="Open Sans" w:cs="Open Sans"/>
          <w:b/>
          <w:sz w:val="18"/>
          <w:szCs w:val="20"/>
        </w:rPr>
        <w:t>A</w:t>
      </w:r>
    </w:p>
    <w:p w:rsidR="005A07F5" w:rsidRPr="0034514C" w:rsidRDefault="00AB4155" w:rsidP="005A07F5">
      <w:pPr>
        <w:pStyle w:val="NormalWeb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 xml:space="preserve">Budget Analysis </w:t>
      </w:r>
      <w:r w:rsidR="0019539A" w:rsidRPr="0034514C">
        <w:rPr>
          <w:rFonts w:ascii="Open Sans" w:hAnsi="Open Sans" w:cs="Open Sans"/>
          <w:sz w:val="18"/>
          <w:szCs w:val="20"/>
        </w:rPr>
        <w:t xml:space="preserve">                         </w:t>
      </w:r>
      <w:r w:rsidRPr="0034514C">
        <w:rPr>
          <w:rFonts w:ascii="Open Sans" w:hAnsi="Open Sans" w:cs="Open Sans"/>
          <w:sz w:val="18"/>
          <w:szCs w:val="20"/>
        </w:rPr>
        <w:t xml:space="preserve">Auditing </w:t>
      </w:r>
    </w:p>
    <w:p w:rsidR="005A07F5" w:rsidRPr="0034514C" w:rsidRDefault="00A736A0" w:rsidP="005A07F5">
      <w:pPr>
        <w:pStyle w:val="NormalWeb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 xml:space="preserve">Tax </w:t>
      </w:r>
      <w:r w:rsidR="00AB4155" w:rsidRPr="0034514C">
        <w:rPr>
          <w:rFonts w:ascii="Open Sans" w:hAnsi="Open Sans" w:cs="Open Sans"/>
          <w:sz w:val="18"/>
          <w:szCs w:val="20"/>
        </w:rPr>
        <w:t xml:space="preserve">Preparation </w:t>
      </w:r>
      <w:r w:rsidR="0019539A" w:rsidRPr="0034514C">
        <w:rPr>
          <w:rFonts w:ascii="Open Sans" w:hAnsi="Open Sans" w:cs="Open Sans"/>
          <w:sz w:val="18"/>
          <w:szCs w:val="20"/>
        </w:rPr>
        <w:t xml:space="preserve">                         </w:t>
      </w:r>
      <w:r w:rsidR="00AB4155" w:rsidRPr="0034514C">
        <w:rPr>
          <w:rFonts w:ascii="Open Sans" w:hAnsi="Open Sans" w:cs="Open Sans"/>
          <w:sz w:val="18"/>
          <w:szCs w:val="20"/>
        </w:rPr>
        <w:t xml:space="preserve">Cost Estimation </w:t>
      </w:r>
    </w:p>
    <w:p w:rsidR="00B84F77" w:rsidRPr="0034514C" w:rsidRDefault="00B84F77" w:rsidP="005A07F5">
      <w:pPr>
        <w:pStyle w:val="NormalWeb"/>
        <w:rPr>
          <w:rFonts w:ascii="Open Sans" w:hAnsi="Open Sans" w:cs="Open Sans"/>
          <w:b/>
          <w:sz w:val="18"/>
          <w:szCs w:val="20"/>
        </w:rPr>
      </w:pPr>
      <w:r w:rsidRPr="0034514C">
        <w:rPr>
          <w:rFonts w:ascii="Open Sans" w:hAnsi="Open Sans" w:cs="Open Sans"/>
          <w:b/>
          <w:sz w:val="18"/>
          <w:szCs w:val="20"/>
        </w:rPr>
        <w:t xml:space="preserve">Position Statement </w:t>
      </w:r>
    </w:p>
    <w:p w:rsidR="00A875DE" w:rsidRPr="0034514C" w:rsidRDefault="007E5B4B" w:rsidP="005A07F5">
      <w:pPr>
        <w:pStyle w:val="NormalWeb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>Extensive experience in providing support to audit engagement teams by assisting with the planning and audits of proces</w:t>
      </w:r>
      <w:r w:rsidR="00821FA0" w:rsidRPr="0034514C">
        <w:rPr>
          <w:rFonts w:ascii="Open Sans" w:hAnsi="Open Sans" w:cs="Open Sans"/>
          <w:sz w:val="18"/>
          <w:szCs w:val="20"/>
        </w:rPr>
        <w:t xml:space="preserve">ses and controls </w:t>
      </w:r>
      <w:r w:rsidRPr="0034514C">
        <w:rPr>
          <w:rFonts w:ascii="Open Sans" w:hAnsi="Open Sans" w:cs="Open Sans"/>
          <w:sz w:val="18"/>
          <w:szCs w:val="20"/>
        </w:rPr>
        <w:t xml:space="preserve">to ensure accuracy, competences, and reliability. </w:t>
      </w:r>
      <w:r w:rsidR="00821FA0" w:rsidRPr="0034514C">
        <w:rPr>
          <w:rFonts w:ascii="Open Sans" w:hAnsi="Open Sans" w:cs="Open Sans"/>
          <w:sz w:val="18"/>
          <w:szCs w:val="20"/>
        </w:rPr>
        <w:t>Performed audit procedures, including obtaining, organizing, and analyzing</w:t>
      </w:r>
      <w:r w:rsidR="00B81374" w:rsidRPr="0034514C">
        <w:rPr>
          <w:rFonts w:ascii="Open Sans" w:hAnsi="Open Sans" w:cs="Open Sans"/>
          <w:sz w:val="18"/>
          <w:szCs w:val="20"/>
        </w:rPr>
        <w:t xml:space="preserve"> financial</w:t>
      </w:r>
      <w:r w:rsidR="00821FA0" w:rsidRPr="0034514C">
        <w:rPr>
          <w:rFonts w:ascii="Open Sans" w:hAnsi="Open Sans" w:cs="Open Sans"/>
          <w:sz w:val="18"/>
          <w:szCs w:val="20"/>
        </w:rPr>
        <w:t xml:space="preserve"> data in accordance with Generall</w:t>
      </w:r>
      <w:r w:rsidR="00B81374" w:rsidRPr="0034514C">
        <w:rPr>
          <w:rFonts w:ascii="Open Sans" w:hAnsi="Open Sans" w:cs="Open Sans"/>
          <w:sz w:val="18"/>
          <w:szCs w:val="20"/>
        </w:rPr>
        <w:t>y</w:t>
      </w:r>
      <w:r w:rsidR="00B60164" w:rsidRPr="0034514C">
        <w:rPr>
          <w:rFonts w:ascii="Open Sans" w:hAnsi="Open Sans" w:cs="Open Sans"/>
          <w:sz w:val="18"/>
          <w:szCs w:val="20"/>
        </w:rPr>
        <w:t xml:space="preserve"> Accepted Accounting Principles</w:t>
      </w:r>
      <w:r w:rsidR="00821FA0" w:rsidRPr="0034514C">
        <w:rPr>
          <w:rFonts w:ascii="Open Sans" w:hAnsi="Open Sans" w:cs="Open Sans"/>
          <w:sz w:val="18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60164" w:rsidRPr="0034514C" w:rsidTr="00B60164">
        <w:tc>
          <w:tcPr>
            <w:tcW w:w="2394" w:type="dxa"/>
          </w:tcPr>
          <w:p w:rsidR="00B60164" w:rsidRPr="0034514C" w:rsidRDefault="00B60164" w:rsidP="005A07F5">
            <w:pPr>
              <w:pStyle w:val="NormalWeb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Auditing </w:t>
            </w:r>
          </w:p>
        </w:tc>
        <w:tc>
          <w:tcPr>
            <w:tcW w:w="2394" w:type="dxa"/>
          </w:tcPr>
          <w:p w:rsidR="00B60164" w:rsidRPr="0034514C" w:rsidRDefault="00B071C6" w:rsidP="005A07F5">
            <w:pPr>
              <w:pStyle w:val="NormalWeb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Financial Analysis </w:t>
            </w:r>
          </w:p>
        </w:tc>
        <w:tc>
          <w:tcPr>
            <w:tcW w:w="2394" w:type="dxa"/>
          </w:tcPr>
          <w:p w:rsidR="00B60164" w:rsidRPr="0034514C" w:rsidRDefault="0036540E" w:rsidP="005A07F5">
            <w:pPr>
              <w:pStyle w:val="NormalWeb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Compliance </w:t>
            </w:r>
          </w:p>
        </w:tc>
        <w:tc>
          <w:tcPr>
            <w:tcW w:w="2394" w:type="dxa"/>
          </w:tcPr>
          <w:p w:rsidR="00B60164" w:rsidRPr="0034514C" w:rsidRDefault="00EA545A" w:rsidP="005A07F5">
            <w:pPr>
              <w:pStyle w:val="NormalWeb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>Communication</w:t>
            </w:r>
          </w:p>
        </w:tc>
      </w:tr>
      <w:tr w:rsidR="00B60164" w:rsidRPr="0034514C" w:rsidTr="00B60164">
        <w:tc>
          <w:tcPr>
            <w:tcW w:w="2394" w:type="dxa"/>
          </w:tcPr>
          <w:p w:rsidR="00B74265" w:rsidRPr="0034514C" w:rsidRDefault="00B36B0B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Auditing of internal/e</w:t>
            </w:r>
            <w:r w:rsidR="000F51F8" w:rsidRPr="0034514C">
              <w:rPr>
                <w:rFonts w:ascii="Open Sans" w:hAnsi="Open Sans" w:cs="Open Sans"/>
                <w:sz w:val="18"/>
                <w:szCs w:val="20"/>
              </w:rPr>
              <w:t>xternal financial s</w:t>
            </w:r>
            <w:r w:rsidR="00367E36" w:rsidRPr="0034514C">
              <w:rPr>
                <w:rFonts w:ascii="Open Sans" w:hAnsi="Open Sans" w:cs="Open Sans"/>
                <w:sz w:val="18"/>
                <w:szCs w:val="20"/>
              </w:rPr>
              <w:t xml:space="preserve">tatements </w:t>
            </w:r>
          </w:p>
          <w:p w:rsidR="00367E36" w:rsidRPr="0034514C" w:rsidRDefault="00367E36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Evaluation &amp; assessment of internal controls</w:t>
            </w:r>
          </w:p>
          <w:p w:rsidR="00C74440" w:rsidRPr="0034514C" w:rsidRDefault="00C74440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Audit team leader </w:t>
            </w:r>
          </w:p>
        </w:tc>
        <w:tc>
          <w:tcPr>
            <w:tcW w:w="2394" w:type="dxa"/>
          </w:tcPr>
          <w:p w:rsidR="00B60164" w:rsidRPr="0034514C" w:rsidRDefault="008D2E6B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Analyze business operations</w:t>
            </w:r>
          </w:p>
          <w:p w:rsidR="008D2E6B" w:rsidRPr="0034514C" w:rsidRDefault="00B663E3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Advise clients on financial and tax needs </w:t>
            </w:r>
          </w:p>
          <w:p w:rsidR="00B663E3" w:rsidRPr="0034514C" w:rsidRDefault="00844EA8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Analyze industry data</w:t>
            </w:r>
            <w:r w:rsidR="001C0A08" w:rsidRPr="0034514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B60164" w:rsidRPr="0034514C" w:rsidRDefault="007C2F3D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Financial statement preparation </w:t>
            </w:r>
          </w:p>
          <w:p w:rsidR="007C2F3D" w:rsidRPr="0034514C" w:rsidRDefault="007C2F3D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Risk assessments </w:t>
            </w:r>
          </w:p>
          <w:p w:rsidR="007C2F3D" w:rsidRPr="0034514C" w:rsidRDefault="008E133F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Compliance in accordance with Sarbanes-Oxley </w:t>
            </w:r>
          </w:p>
        </w:tc>
        <w:tc>
          <w:tcPr>
            <w:tcW w:w="2394" w:type="dxa"/>
          </w:tcPr>
          <w:p w:rsidR="00B60164" w:rsidRPr="0034514C" w:rsidRDefault="00B332A4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Strong client relationship </w:t>
            </w:r>
          </w:p>
          <w:p w:rsidR="00B332A4" w:rsidRPr="0034514C" w:rsidRDefault="00B36B0B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Drafting of audit/ t</w:t>
            </w:r>
            <w:r w:rsidR="0099636E" w:rsidRPr="0034514C">
              <w:rPr>
                <w:rFonts w:ascii="Open Sans" w:hAnsi="Open Sans" w:cs="Open Sans"/>
                <w:sz w:val="18"/>
                <w:szCs w:val="20"/>
              </w:rPr>
              <w:t>ax research memos</w:t>
            </w:r>
          </w:p>
          <w:p w:rsidR="004D08EB" w:rsidRPr="0034514C" w:rsidRDefault="00B36B0B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Ability to</w:t>
            </w:r>
            <w:r w:rsidR="00C338A5" w:rsidRPr="0034514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514C">
              <w:rPr>
                <w:rFonts w:ascii="Open Sans" w:hAnsi="Open Sans" w:cs="Open Sans"/>
                <w:sz w:val="18"/>
                <w:szCs w:val="20"/>
              </w:rPr>
              <w:t>work</w:t>
            </w:r>
            <w:r w:rsidR="006D13FD" w:rsidRPr="0034514C">
              <w:rPr>
                <w:rFonts w:ascii="Open Sans" w:hAnsi="Open Sans" w:cs="Open Sans"/>
                <w:sz w:val="18"/>
                <w:szCs w:val="20"/>
              </w:rPr>
              <w:t xml:space="preserve"> well in teams</w:t>
            </w:r>
            <w:r w:rsidR="004D08EB" w:rsidRPr="0034514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  <w:p w:rsidR="004D08EB" w:rsidRPr="0034514C" w:rsidRDefault="004D08EB" w:rsidP="005A07F5">
            <w:pPr>
              <w:pStyle w:val="NormalWeb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:rsidR="00C66C3E" w:rsidRPr="0034514C" w:rsidRDefault="008746E4" w:rsidP="00E31230">
      <w:pPr>
        <w:pStyle w:val="NormalWeb"/>
        <w:rPr>
          <w:rFonts w:ascii="Open Sans" w:hAnsi="Open Sans" w:cs="Open Sans"/>
          <w:b/>
          <w:sz w:val="18"/>
          <w:szCs w:val="20"/>
        </w:rPr>
      </w:pPr>
      <w:r w:rsidRPr="0034514C">
        <w:rPr>
          <w:rFonts w:ascii="Open Sans" w:hAnsi="Open Sans" w:cs="Open Sans"/>
          <w:b/>
          <w:sz w:val="18"/>
          <w:szCs w:val="20"/>
        </w:rPr>
        <w:t xml:space="preserve">Target Market with Sample Target Companies </w:t>
      </w:r>
    </w:p>
    <w:p w:rsidR="00C910D6" w:rsidRPr="0034514C" w:rsidRDefault="00585C13" w:rsidP="00956EC7">
      <w:pPr>
        <w:pStyle w:val="NormalWeb"/>
        <w:spacing w:before="0" w:beforeAutospacing="0" w:after="0" w:afterAutospacing="0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>Geographic area: WA within a radius</w:t>
      </w:r>
      <w:r w:rsidR="00B36B0B" w:rsidRPr="0034514C">
        <w:rPr>
          <w:rFonts w:ascii="Open Sans" w:hAnsi="Open Sans" w:cs="Open Sans"/>
          <w:sz w:val="18"/>
          <w:szCs w:val="20"/>
        </w:rPr>
        <w:t xml:space="preserve"> of 30 miles from Bellevue</w:t>
      </w:r>
      <w:r w:rsidRPr="0034514C">
        <w:rPr>
          <w:rFonts w:ascii="Open Sans" w:hAnsi="Open Sans" w:cs="Open Sans"/>
          <w:sz w:val="18"/>
          <w:szCs w:val="20"/>
        </w:rPr>
        <w:t xml:space="preserve">. </w:t>
      </w:r>
    </w:p>
    <w:p w:rsidR="00585C13" w:rsidRPr="0034514C" w:rsidRDefault="00585C13" w:rsidP="00956EC7">
      <w:pPr>
        <w:pStyle w:val="NormalWeb"/>
        <w:spacing w:before="0" w:beforeAutospacing="0" w:after="0" w:afterAutospacing="0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 xml:space="preserve">Type of </w:t>
      </w:r>
      <w:r w:rsidR="00496D56" w:rsidRPr="0034514C">
        <w:rPr>
          <w:rFonts w:ascii="Open Sans" w:hAnsi="Open Sans" w:cs="Open Sans"/>
          <w:sz w:val="18"/>
          <w:szCs w:val="20"/>
        </w:rPr>
        <w:t>industries: Public accounting, f</w:t>
      </w:r>
      <w:r w:rsidRPr="0034514C">
        <w:rPr>
          <w:rFonts w:ascii="Open Sans" w:hAnsi="Open Sans" w:cs="Open Sans"/>
          <w:sz w:val="18"/>
          <w:szCs w:val="20"/>
        </w:rPr>
        <w:t>inancial institutions</w:t>
      </w:r>
      <w:r w:rsidR="00496D56" w:rsidRPr="0034514C">
        <w:rPr>
          <w:rFonts w:ascii="Open Sans" w:hAnsi="Open Sans" w:cs="Open Sans"/>
          <w:sz w:val="18"/>
          <w:szCs w:val="20"/>
        </w:rPr>
        <w:t>, and t</w:t>
      </w:r>
      <w:r w:rsidRPr="0034514C">
        <w:rPr>
          <w:rFonts w:ascii="Open Sans" w:hAnsi="Open Sans" w:cs="Open Sans"/>
          <w:sz w:val="18"/>
          <w:szCs w:val="20"/>
        </w:rPr>
        <w:t xml:space="preserve">echnology related firms. </w:t>
      </w:r>
    </w:p>
    <w:p w:rsidR="00956EC7" w:rsidRPr="0034514C" w:rsidRDefault="00956EC7" w:rsidP="00956EC7">
      <w:pPr>
        <w:pStyle w:val="NormalWeb"/>
        <w:spacing w:before="0" w:beforeAutospacing="0" w:after="0" w:afterAutospacing="0"/>
        <w:rPr>
          <w:rFonts w:ascii="Open Sans" w:hAnsi="Open Sans" w:cs="Open Sans"/>
          <w:sz w:val="18"/>
          <w:szCs w:val="20"/>
        </w:rPr>
      </w:pPr>
      <w:r w:rsidRPr="0034514C">
        <w:rPr>
          <w:rFonts w:ascii="Open Sans" w:hAnsi="Open Sans" w:cs="Open Sans"/>
          <w:sz w:val="18"/>
          <w:szCs w:val="20"/>
        </w:rPr>
        <w:t>Size of organizations: Public Accounting and Financial i</w:t>
      </w:r>
      <w:r w:rsidR="000F51F8" w:rsidRPr="0034514C">
        <w:rPr>
          <w:rFonts w:ascii="Open Sans" w:hAnsi="Open Sans" w:cs="Open Sans"/>
          <w:sz w:val="18"/>
          <w:szCs w:val="20"/>
        </w:rPr>
        <w:t xml:space="preserve">nstitutions over 1000 employees, </w:t>
      </w:r>
      <w:r w:rsidRPr="0034514C">
        <w:rPr>
          <w:rFonts w:ascii="Open Sans" w:hAnsi="Open Sans" w:cs="Open Sans"/>
          <w:sz w:val="18"/>
          <w:szCs w:val="20"/>
        </w:rPr>
        <w:t>Technology any size</w:t>
      </w:r>
    </w:p>
    <w:p w:rsidR="00956EC7" w:rsidRPr="0034514C" w:rsidRDefault="00956EC7" w:rsidP="00956EC7">
      <w:pPr>
        <w:pStyle w:val="NormalWeb"/>
        <w:spacing w:before="0" w:beforeAutospacing="0" w:after="0" w:afterAutospacing="0"/>
        <w:rPr>
          <w:rFonts w:ascii="Open Sans" w:hAnsi="Open Sans" w:cs="Open Sans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2366" w:rsidRPr="0034514C" w:rsidTr="00862366">
        <w:tc>
          <w:tcPr>
            <w:tcW w:w="3192" w:type="dxa"/>
          </w:tcPr>
          <w:p w:rsidR="00862366" w:rsidRPr="0034514C" w:rsidRDefault="00862366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Public Accounting </w:t>
            </w:r>
          </w:p>
          <w:p w:rsidR="00AC2B8C" w:rsidRPr="0034514C" w:rsidRDefault="00AC2B8C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Bader Martin </w:t>
            </w:r>
          </w:p>
          <w:p w:rsidR="00AC2B8C" w:rsidRPr="0034514C" w:rsidRDefault="00AC2B8C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Clark Nuber </w:t>
            </w:r>
          </w:p>
          <w:p w:rsidR="00AC2B8C" w:rsidRPr="0034514C" w:rsidRDefault="00AC2B8C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KPMG</w:t>
            </w:r>
          </w:p>
          <w:p w:rsidR="00AC2B8C" w:rsidRPr="0034514C" w:rsidRDefault="00AC2B8C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Deloitte &amp; Touche </w:t>
            </w:r>
          </w:p>
          <w:p w:rsidR="00CE2376" w:rsidRPr="0034514C" w:rsidRDefault="000B53CD" w:rsidP="000B53CD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Ernst &amp; Young </w:t>
            </w:r>
          </w:p>
          <w:p w:rsidR="00BD199C" w:rsidRPr="0034514C" w:rsidRDefault="00BD199C" w:rsidP="000B53CD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RSM McGladrey</w:t>
            </w:r>
          </w:p>
          <w:p w:rsidR="00BD199C" w:rsidRPr="0034514C" w:rsidRDefault="00BD199C" w:rsidP="000B53CD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BDO Seidman LLP</w:t>
            </w:r>
          </w:p>
        </w:tc>
        <w:tc>
          <w:tcPr>
            <w:tcW w:w="3192" w:type="dxa"/>
          </w:tcPr>
          <w:p w:rsidR="00862366" w:rsidRPr="0034514C" w:rsidRDefault="00E31A81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Financial Institutions </w:t>
            </w:r>
          </w:p>
          <w:p w:rsidR="00507270" w:rsidRPr="0034514C" w:rsidRDefault="00B36B0B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Morgan Stanley</w:t>
            </w:r>
          </w:p>
          <w:p w:rsidR="00507270" w:rsidRPr="0034514C" w:rsidRDefault="00507270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JP Morgan Chase </w:t>
            </w:r>
          </w:p>
          <w:p w:rsidR="00507270" w:rsidRPr="0034514C" w:rsidRDefault="00B36B0B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Key Bank</w:t>
            </w:r>
          </w:p>
          <w:p w:rsidR="00631211" w:rsidRPr="0034514C" w:rsidRDefault="00B36B0B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BECU</w:t>
            </w:r>
          </w:p>
          <w:p w:rsidR="00631211" w:rsidRPr="0034514C" w:rsidRDefault="00631211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First Financial Northwest Inc.</w:t>
            </w:r>
          </w:p>
          <w:p w:rsidR="00631211" w:rsidRPr="0034514C" w:rsidRDefault="00631211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Seattle Financial Group</w:t>
            </w:r>
          </w:p>
          <w:p w:rsidR="00631211" w:rsidRPr="0034514C" w:rsidRDefault="00631211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Foundation Bancorp Inc</w:t>
            </w:r>
          </w:p>
          <w:p w:rsidR="00631211" w:rsidRPr="0034514C" w:rsidRDefault="00631211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192" w:type="dxa"/>
          </w:tcPr>
          <w:p w:rsidR="00862366" w:rsidRPr="0034514C" w:rsidRDefault="00A61C12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>Technology</w:t>
            </w:r>
            <w:r w:rsidR="00B36B0B"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 R</w:t>
            </w:r>
            <w:r w:rsidR="007430D7"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elated </w:t>
            </w:r>
            <w:r w:rsidRPr="0034514C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</w:p>
          <w:p w:rsidR="00DD4226" w:rsidRPr="0034514C" w:rsidRDefault="00996C0B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Microsoft </w:t>
            </w:r>
          </w:p>
          <w:p w:rsidR="00996C0B" w:rsidRPr="0034514C" w:rsidRDefault="00B36B0B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Google</w:t>
            </w:r>
            <w:r w:rsidR="006743A2" w:rsidRPr="0034514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  <w:p w:rsidR="006743A2" w:rsidRPr="0034514C" w:rsidRDefault="007430D7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Amazon </w:t>
            </w:r>
          </w:p>
          <w:p w:rsidR="007430D7" w:rsidRPr="0034514C" w:rsidRDefault="007430D7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 xml:space="preserve">Expedia </w:t>
            </w:r>
          </w:p>
          <w:p w:rsidR="006743A2" w:rsidRPr="0034514C" w:rsidRDefault="009C5B04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34514C">
              <w:rPr>
                <w:rFonts w:ascii="Open Sans" w:hAnsi="Open Sans" w:cs="Open Sans"/>
                <w:sz w:val="18"/>
                <w:szCs w:val="20"/>
              </w:rPr>
              <w:t>Zango</w:t>
            </w:r>
            <w:proofErr w:type="spellEnd"/>
          </w:p>
          <w:p w:rsidR="009C5B04" w:rsidRPr="0034514C" w:rsidRDefault="009C5B04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Big Fish Games Inc</w:t>
            </w:r>
            <w:r w:rsidR="000F51F8" w:rsidRPr="0034514C">
              <w:rPr>
                <w:rFonts w:ascii="Open Sans" w:hAnsi="Open Sans" w:cs="Open Sans"/>
                <w:sz w:val="18"/>
                <w:szCs w:val="20"/>
              </w:rPr>
              <w:t>.</w:t>
            </w:r>
          </w:p>
          <w:p w:rsidR="009C5B04" w:rsidRPr="0034514C" w:rsidRDefault="009C5B04" w:rsidP="00242C03">
            <w:pPr>
              <w:pStyle w:val="NormalWeb"/>
              <w:spacing w:before="120" w:beforeAutospacing="0" w:after="120" w:afterAutospacing="0"/>
              <w:rPr>
                <w:rFonts w:ascii="Open Sans" w:hAnsi="Open Sans" w:cs="Open Sans"/>
                <w:sz w:val="18"/>
                <w:szCs w:val="20"/>
              </w:rPr>
            </w:pPr>
            <w:r w:rsidRPr="0034514C">
              <w:rPr>
                <w:rFonts w:ascii="Open Sans" w:hAnsi="Open Sans" w:cs="Open Sans"/>
                <w:sz w:val="18"/>
                <w:szCs w:val="20"/>
              </w:rPr>
              <w:t>Concur</w:t>
            </w:r>
          </w:p>
        </w:tc>
      </w:tr>
    </w:tbl>
    <w:p w:rsidR="007268A1" w:rsidRPr="0034514C" w:rsidRDefault="007268A1" w:rsidP="00731554">
      <w:pPr>
        <w:spacing w:after="0"/>
        <w:rPr>
          <w:rFonts w:ascii="Open Sans" w:eastAsia="Times New Roman" w:hAnsi="Open Sans" w:cs="Open Sans"/>
          <w:sz w:val="24"/>
          <w:szCs w:val="28"/>
        </w:rPr>
      </w:pPr>
      <w:bookmarkStart w:id="0" w:name="_GoBack"/>
      <w:bookmarkEnd w:id="0"/>
    </w:p>
    <w:sectPr w:rsidR="007268A1" w:rsidRPr="0034514C" w:rsidSect="0051315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A9" w:rsidRDefault="00717CA9" w:rsidP="0034514C">
      <w:pPr>
        <w:spacing w:after="0" w:line="240" w:lineRule="auto"/>
      </w:pPr>
      <w:r>
        <w:separator/>
      </w:r>
    </w:p>
  </w:endnote>
  <w:endnote w:type="continuationSeparator" w:id="0">
    <w:p w:rsidR="00717CA9" w:rsidRDefault="00717CA9" w:rsidP="0034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A9" w:rsidRDefault="00717CA9" w:rsidP="0034514C">
      <w:pPr>
        <w:spacing w:after="0" w:line="240" w:lineRule="auto"/>
      </w:pPr>
      <w:r>
        <w:separator/>
      </w:r>
    </w:p>
  </w:footnote>
  <w:footnote w:type="continuationSeparator" w:id="0">
    <w:p w:rsidR="00717CA9" w:rsidRDefault="00717CA9" w:rsidP="0034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4C" w:rsidRDefault="0034514C">
    <w:pPr>
      <w:pStyle w:val="Header"/>
    </w:pPr>
    <w:r>
      <w:rPr>
        <w:noProof/>
      </w:rPr>
      <w:drawing>
        <wp:inline distT="0" distB="0" distL="0" distR="0">
          <wp:extent cx="11790146" cy="402590"/>
          <wp:effectExtent l="0" t="0" r="0" b="0"/>
          <wp:docPr id="3" name="Picture 3" descr="UWB_CareerService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_CareerServices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5019" cy="40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21C"/>
    <w:multiLevelType w:val="multilevel"/>
    <w:tmpl w:val="253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0588A"/>
    <w:multiLevelType w:val="multilevel"/>
    <w:tmpl w:val="F05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81D93"/>
    <w:multiLevelType w:val="multilevel"/>
    <w:tmpl w:val="756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16F6C"/>
    <w:multiLevelType w:val="multilevel"/>
    <w:tmpl w:val="954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B3EF4"/>
    <w:multiLevelType w:val="multilevel"/>
    <w:tmpl w:val="C150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10934"/>
    <w:multiLevelType w:val="multilevel"/>
    <w:tmpl w:val="702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21678"/>
    <w:multiLevelType w:val="multilevel"/>
    <w:tmpl w:val="792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B7815"/>
    <w:multiLevelType w:val="multilevel"/>
    <w:tmpl w:val="3FB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933D2"/>
    <w:multiLevelType w:val="multilevel"/>
    <w:tmpl w:val="5988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E1F24"/>
    <w:multiLevelType w:val="multilevel"/>
    <w:tmpl w:val="AE6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25C3D"/>
    <w:multiLevelType w:val="multilevel"/>
    <w:tmpl w:val="B662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53B27"/>
    <w:multiLevelType w:val="multilevel"/>
    <w:tmpl w:val="2432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F33AD"/>
    <w:multiLevelType w:val="multilevel"/>
    <w:tmpl w:val="5B86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424E2"/>
    <w:multiLevelType w:val="multilevel"/>
    <w:tmpl w:val="506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F0889"/>
    <w:multiLevelType w:val="multilevel"/>
    <w:tmpl w:val="3A8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67C34"/>
    <w:multiLevelType w:val="multilevel"/>
    <w:tmpl w:val="614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B1413"/>
    <w:multiLevelType w:val="multilevel"/>
    <w:tmpl w:val="88D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2"/>
    <w:rsid w:val="00003289"/>
    <w:rsid w:val="000319C6"/>
    <w:rsid w:val="00046F4E"/>
    <w:rsid w:val="0005436C"/>
    <w:rsid w:val="00092D50"/>
    <w:rsid w:val="000B53CD"/>
    <w:rsid w:val="000F4578"/>
    <w:rsid w:val="000F51F8"/>
    <w:rsid w:val="00106A7C"/>
    <w:rsid w:val="00133FD3"/>
    <w:rsid w:val="0019539A"/>
    <w:rsid w:val="001A05E7"/>
    <w:rsid w:val="001C0A08"/>
    <w:rsid w:val="00206635"/>
    <w:rsid w:val="00231922"/>
    <w:rsid w:val="00242C03"/>
    <w:rsid w:val="0027761F"/>
    <w:rsid w:val="002F0FD4"/>
    <w:rsid w:val="002F19B6"/>
    <w:rsid w:val="0034514C"/>
    <w:rsid w:val="003538AB"/>
    <w:rsid w:val="0036163E"/>
    <w:rsid w:val="0036540E"/>
    <w:rsid w:val="00367E36"/>
    <w:rsid w:val="00373760"/>
    <w:rsid w:val="003A347A"/>
    <w:rsid w:val="003E0CA9"/>
    <w:rsid w:val="00452B35"/>
    <w:rsid w:val="00493432"/>
    <w:rsid w:val="00496D56"/>
    <w:rsid w:val="004D08EB"/>
    <w:rsid w:val="004D13E9"/>
    <w:rsid w:val="00507270"/>
    <w:rsid w:val="00513151"/>
    <w:rsid w:val="0053675C"/>
    <w:rsid w:val="0055393B"/>
    <w:rsid w:val="00555B22"/>
    <w:rsid w:val="00561884"/>
    <w:rsid w:val="005836D0"/>
    <w:rsid w:val="00585C13"/>
    <w:rsid w:val="005A07F5"/>
    <w:rsid w:val="00631211"/>
    <w:rsid w:val="00667A41"/>
    <w:rsid w:val="006743A2"/>
    <w:rsid w:val="00693C12"/>
    <w:rsid w:val="006D13FD"/>
    <w:rsid w:val="00717CA9"/>
    <w:rsid w:val="007268A1"/>
    <w:rsid w:val="00731554"/>
    <w:rsid w:val="007430D7"/>
    <w:rsid w:val="007469D6"/>
    <w:rsid w:val="00760B9E"/>
    <w:rsid w:val="0079529E"/>
    <w:rsid w:val="007C2F3D"/>
    <w:rsid w:val="007D2ACF"/>
    <w:rsid w:val="007E1D03"/>
    <w:rsid w:val="007E5B4B"/>
    <w:rsid w:val="00817E6D"/>
    <w:rsid w:val="00821FA0"/>
    <w:rsid w:val="008439DC"/>
    <w:rsid w:val="00844EA8"/>
    <w:rsid w:val="00862366"/>
    <w:rsid w:val="008746E4"/>
    <w:rsid w:val="00890AE0"/>
    <w:rsid w:val="00891A3F"/>
    <w:rsid w:val="008B1C53"/>
    <w:rsid w:val="008D2E6B"/>
    <w:rsid w:val="008E133F"/>
    <w:rsid w:val="00956EC7"/>
    <w:rsid w:val="009876E9"/>
    <w:rsid w:val="0099636E"/>
    <w:rsid w:val="00996C0B"/>
    <w:rsid w:val="009C5B04"/>
    <w:rsid w:val="00A61C12"/>
    <w:rsid w:val="00A736A0"/>
    <w:rsid w:val="00A763F4"/>
    <w:rsid w:val="00A769ED"/>
    <w:rsid w:val="00A875DE"/>
    <w:rsid w:val="00AB4155"/>
    <w:rsid w:val="00AC2B8C"/>
    <w:rsid w:val="00B071C6"/>
    <w:rsid w:val="00B332A4"/>
    <w:rsid w:val="00B36B0B"/>
    <w:rsid w:val="00B60164"/>
    <w:rsid w:val="00B663E3"/>
    <w:rsid w:val="00B74265"/>
    <w:rsid w:val="00B81374"/>
    <w:rsid w:val="00B84F77"/>
    <w:rsid w:val="00BC7C02"/>
    <w:rsid w:val="00BD199C"/>
    <w:rsid w:val="00C338A5"/>
    <w:rsid w:val="00C46A11"/>
    <w:rsid w:val="00C66C3E"/>
    <w:rsid w:val="00C74440"/>
    <w:rsid w:val="00C910D6"/>
    <w:rsid w:val="00CE2376"/>
    <w:rsid w:val="00D3034C"/>
    <w:rsid w:val="00D65D78"/>
    <w:rsid w:val="00DD4226"/>
    <w:rsid w:val="00DE2F83"/>
    <w:rsid w:val="00E31230"/>
    <w:rsid w:val="00E31A81"/>
    <w:rsid w:val="00EA545A"/>
    <w:rsid w:val="00F10F80"/>
    <w:rsid w:val="00F32BBF"/>
    <w:rsid w:val="00F62FFF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B63"/>
  <w15:docId w15:val="{37899F87-CC87-48BF-BE80-009BCF4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1">
    <w:name w:val="il_ad1"/>
    <w:basedOn w:val="DefaultParagraphFont"/>
    <w:rsid w:val="007268A1"/>
  </w:style>
  <w:style w:type="character" w:styleId="Hyperlink">
    <w:name w:val="Hyperlink"/>
    <w:basedOn w:val="DefaultParagraphFont"/>
    <w:uiPriority w:val="99"/>
    <w:semiHidden/>
    <w:unhideWhenUsed/>
    <w:rsid w:val="007268A1"/>
    <w:rPr>
      <w:strike w:val="0"/>
      <w:dstrike w:val="0"/>
      <w:color w:val="0033FF"/>
      <w:u w:val="none"/>
      <w:effect w:val="none"/>
    </w:rPr>
  </w:style>
  <w:style w:type="table" w:styleId="TableGrid">
    <w:name w:val="Table Grid"/>
    <w:basedOn w:val="TableNormal"/>
    <w:uiPriority w:val="59"/>
    <w:rsid w:val="00B60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4C"/>
  </w:style>
  <w:style w:type="paragraph" w:styleId="Footer">
    <w:name w:val="footer"/>
    <w:basedOn w:val="Normal"/>
    <w:link w:val="FooterChar"/>
    <w:uiPriority w:val="99"/>
    <w:unhideWhenUsed/>
    <w:rsid w:val="0034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4C"/>
  </w:style>
  <w:style w:type="paragraph" w:styleId="Title">
    <w:name w:val="Title"/>
    <w:basedOn w:val="Normal"/>
    <w:next w:val="Normal"/>
    <w:link w:val="TitleChar"/>
    <w:uiPriority w:val="10"/>
    <w:qFormat/>
    <w:rsid w:val="00345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39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390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0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954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8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3699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214">
          <w:marLeft w:val="1"/>
          <w:marRight w:val="1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79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331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9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6258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224">
          <w:marLeft w:val="1"/>
          <w:marRight w:val="1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71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5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521E-380C-4D4E-AEA6-356B2B36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echristian</dc:creator>
  <cp:keywords/>
  <dc:description/>
  <cp:lastModifiedBy>Kristen Labrecque</cp:lastModifiedBy>
  <cp:revision>2</cp:revision>
  <cp:lastPrinted>2010-03-15T21:06:00Z</cp:lastPrinted>
  <dcterms:created xsi:type="dcterms:W3CDTF">2023-06-23T18:37:00Z</dcterms:created>
  <dcterms:modified xsi:type="dcterms:W3CDTF">2023-06-23T18:37:00Z</dcterms:modified>
</cp:coreProperties>
</file>