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30DD" w14:textId="11C09AE2" w:rsidR="005C0A5D" w:rsidRDefault="005C0A5D">
      <w:pPr>
        <w:rPr>
          <w:b/>
          <w:bCs/>
        </w:rPr>
      </w:pPr>
      <w:r>
        <w:rPr>
          <w:b/>
          <w:bCs/>
        </w:rPr>
        <w:t>University of Washington Bothell (UW Bothell)</w:t>
      </w:r>
    </w:p>
    <w:p w14:paraId="02916DAF" w14:textId="778DA0B1" w:rsidR="00137372" w:rsidRDefault="0084670A">
      <w:pPr>
        <w:rPr>
          <w:b/>
          <w:bCs/>
        </w:rPr>
      </w:pPr>
      <w:r w:rsidRPr="00C96F1D">
        <w:rPr>
          <w:b/>
          <w:bCs/>
        </w:rPr>
        <w:t xml:space="preserve">Startup </w:t>
      </w:r>
      <w:r w:rsidR="00C96F1D">
        <w:rPr>
          <w:b/>
          <w:bCs/>
        </w:rPr>
        <w:t>Packages</w:t>
      </w:r>
      <w:r w:rsidR="00C96F1D" w:rsidRPr="00C96F1D">
        <w:rPr>
          <w:b/>
          <w:bCs/>
        </w:rPr>
        <w:t xml:space="preserve"> for New Faculty Hires</w:t>
      </w:r>
    </w:p>
    <w:p w14:paraId="7AB0A4DD" w14:textId="6E2C2E36" w:rsidR="0017727B" w:rsidRDefault="0017727B" w:rsidP="0017727B">
      <w:r>
        <w:t>Startup</w:t>
      </w:r>
      <w:r w:rsidR="00693413">
        <w:t xml:space="preserve"> packages</w:t>
      </w:r>
      <w:r>
        <w:t xml:space="preserve"> are </w:t>
      </w:r>
      <w:r w:rsidR="00B97FBD">
        <w:t xml:space="preserve">at the discretion of and </w:t>
      </w:r>
      <w:r>
        <w:t>paid for by the Academic Unit in which the faculty member is housed. The intent of a startup package is primarily to help the faculty member transition their scholarship program to UW Bothell. A startup package may also be used to incentivize the faculty member to accept the offer</w:t>
      </w:r>
      <w:r w:rsidR="009A2C6E">
        <w:t>. Startup packages</w:t>
      </w:r>
      <w:r>
        <w:t xml:space="preserve"> must be itemized in the offer letter. All startup </w:t>
      </w:r>
      <w:r w:rsidR="009A2C6E">
        <w:t>items</w:t>
      </w:r>
      <w:r>
        <w:t xml:space="preserve"> must be used within the first three years of a faculty member’s start date (approved leaves may result in an extension but never past </w:t>
      </w:r>
      <w:r w:rsidR="0087675B">
        <w:t xml:space="preserve">any </w:t>
      </w:r>
      <w:bookmarkStart w:id="0" w:name="_GoBack"/>
      <w:bookmarkEnd w:id="0"/>
      <w:r w:rsidR="0087675B">
        <w:t>Code -specified mandatory timelines)</w:t>
      </w:r>
      <w:r>
        <w:t>. Any exceptions to the above policy must receive written approval from the VCAA.</w:t>
      </w:r>
    </w:p>
    <w:p w14:paraId="03A77EF5" w14:textId="0F5A9C51" w:rsidR="0017727B" w:rsidRDefault="00E27EB6" w:rsidP="0017727B">
      <w:r>
        <w:t>T</w:t>
      </w:r>
      <w:r w:rsidR="0017727B">
        <w:t>he items listed below</w:t>
      </w:r>
      <w:r>
        <w:t xml:space="preserve"> are </w:t>
      </w:r>
      <w:r w:rsidR="00A73621">
        <w:t>common for startup packages, however the Dean has some flexibility and is encouraged to consult with the VCAA for unusual situations</w:t>
      </w:r>
      <w:r w:rsidR="0017727B">
        <w:t xml:space="preserve">. Details </w:t>
      </w:r>
      <w:r>
        <w:t>about</w:t>
      </w:r>
      <w:r w:rsidR="0017727B">
        <w:t xml:space="preserve"> the startup package should be </w:t>
      </w:r>
      <w:r>
        <w:t>confirmed with</w:t>
      </w:r>
      <w:r w:rsidR="0017727B">
        <w:t xml:space="preserve"> OEHR </w:t>
      </w:r>
      <w:r>
        <w:t>at the same time as</w:t>
      </w:r>
      <w:r w:rsidR="0017727B">
        <w:t xml:space="preserve"> the appointment letter documentation</w:t>
      </w:r>
      <w:r>
        <w:t>.</w:t>
      </w:r>
    </w:p>
    <w:p w14:paraId="222B8633" w14:textId="712C7F67" w:rsidR="00693413" w:rsidRDefault="00693413" w:rsidP="0017727B">
      <w:r>
        <w:t>Note that retention packages, when needed, should follow similar guidelines.</w:t>
      </w:r>
    </w:p>
    <w:p w14:paraId="0DEC8DB7" w14:textId="4A5F9327" w:rsidR="0017727B" w:rsidRDefault="0017727B" w:rsidP="0017727B">
      <w:r>
        <w:t>---------------------------------------------------------------------------------------------------------------------------------------</w:t>
      </w:r>
    </w:p>
    <w:p w14:paraId="4240CCD6" w14:textId="2D1521F6" w:rsidR="0017727B" w:rsidRDefault="0017727B" w:rsidP="0017727B">
      <w:r>
        <w:t>Name of Appointee:</w:t>
      </w:r>
    </w:p>
    <w:p w14:paraId="1EC4A5E6" w14:textId="4F9D2CCA" w:rsidR="0017727B" w:rsidRDefault="0017727B" w:rsidP="0017727B">
      <w:r>
        <w:t>Rank/Title:</w:t>
      </w:r>
    </w:p>
    <w:p w14:paraId="5BCC1141" w14:textId="5C497B26" w:rsidR="0017727B" w:rsidRDefault="0017727B" w:rsidP="0017727B">
      <w:r>
        <w:t>Starting salary:</w:t>
      </w:r>
    </w:p>
    <w:p w14:paraId="7E8FC6FB" w14:textId="14FF9C20" w:rsidR="0017727B" w:rsidRDefault="0017727B" w:rsidP="0017727B">
      <w:r>
        <w:t>Start date of appointment: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9"/>
        <w:gridCol w:w="833"/>
        <w:gridCol w:w="833"/>
        <w:gridCol w:w="890"/>
      </w:tblGrid>
      <w:tr w:rsidR="0017727B" w14:paraId="2D7D164F" w14:textId="77777777" w:rsidTr="002327A9">
        <w:tc>
          <w:tcPr>
            <w:tcW w:w="6439" w:type="dxa"/>
          </w:tcPr>
          <w:p w14:paraId="040636C8" w14:textId="77777777" w:rsidR="007742F2" w:rsidRDefault="007742F2" w:rsidP="0017727B">
            <w:pPr>
              <w:pStyle w:val="ListParagraph"/>
            </w:pPr>
          </w:p>
          <w:p w14:paraId="02AB373A" w14:textId="5A962C77" w:rsidR="0017727B" w:rsidRDefault="0017727B" w:rsidP="0017727B">
            <w:pPr>
              <w:pStyle w:val="ListParagraph"/>
            </w:pPr>
            <w:r>
              <w:t xml:space="preserve">Details of </w:t>
            </w:r>
            <w:r w:rsidR="007742F2">
              <w:t>E</w:t>
            </w:r>
            <w:r>
              <w:t>xpenditures</w:t>
            </w:r>
          </w:p>
        </w:tc>
        <w:tc>
          <w:tcPr>
            <w:tcW w:w="833" w:type="dxa"/>
          </w:tcPr>
          <w:p w14:paraId="7D724F6F" w14:textId="45378C52" w:rsidR="0017727B" w:rsidRDefault="0017727B" w:rsidP="0017727B">
            <w:r>
              <w:t>____ Year</w:t>
            </w:r>
          </w:p>
        </w:tc>
        <w:tc>
          <w:tcPr>
            <w:tcW w:w="833" w:type="dxa"/>
          </w:tcPr>
          <w:p w14:paraId="0F737614" w14:textId="0B068AF5" w:rsidR="0017727B" w:rsidRDefault="0017727B" w:rsidP="0017727B">
            <w:r>
              <w:t>____ Year</w:t>
            </w:r>
          </w:p>
        </w:tc>
        <w:tc>
          <w:tcPr>
            <w:tcW w:w="890" w:type="dxa"/>
          </w:tcPr>
          <w:p w14:paraId="3C9FEEFA" w14:textId="77777777" w:rsidR="002327A9" w:rsidRDefault="0017727B" w:rsidP="0017727B">
            <w:r>
              <w:t>_____</w:t>
            </w:r>
          </w:p>
          <w:p w14:paraId="255E4B57" w14:textId="1F73E835" w:rsidR="0017727B" w:rsidRDefault="0017727B" w:rsidP="0017727B">
            <w:r>
              <w:t>Year</w:t>
            </w:r>
          </w:p>
        </w:tc>
      </w:tr>
      <w:tr w:rsidR="0017727B" w14:paraId="6CF136B4" w14:textId="77777777" w:rsidTr="002327A9">
        <w:tc>
          <w:tcPr>
            <w:tcW w:w="6439" w:type="dxa"/>
          </w:tcPr>
          <w:p w14:paraId="74179A27" w14:textId="0E09D507" w:rsidR="0017727B" w:rsidRDefault="00C40BC7" w:rsidP="0017727B">
            <w:pPr>
              <w:pStyle w:val="ListParagraph"/>
              <w:numPr>
                <w:ilvl w:val="0"/>
                <w:numId w:val="1"/>
              </w:numPr>
            </w:pPr>
            <w:r>
              <w:t>Research support (e.g., equipment, materials</w:t>
            </w:r>
            <w:r w:rsidR="00745107">
              <w:t>, etc.</w:t>
            </w:r>
            <w:r>
              <w:t>)</w:t>
            </w:r>
          </w:p>
          <w:p w14:paraId="4881CC51" w14:textId="7904B091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 xml:space="preserve">IT supplies </w:t>
            </w:r>
            <w:r w:rsidR="00745107">
              <w:t>(</w:t>
            </w:r>
            <w:r>
              <w:t>e.g., advanced hardware</w:t>
            </w:r>
            <w:r w:rsidR="00745107">
              <w:t>, specialized software, etc.)</w:t>
            </w:r>
          </w:p>
          <w:p w14:paraId="36882CE6" w14:textId="26149011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>Summer salary</w:t>
            </w:r>
          </w:p>
          <w:p w14:paraId="7DE79B43" w14:textId="06DDAF7F" w:rsidR="009E1D09" w:rsidRDefault="009E1D09" w:rsidP="0017727B">
            <w:pPr>
              <w:pStyle w:val="ListParagraph"/>
              <w:numPr>
                <w:ilvl w:val="0"/>
                <w:numId w:val="1"/>
              </w:numPr>
            </w:pPr>
            <w:r>
              <w:t>Student/post-doc support</w:t>
            </w:r>
          </w:p>
          <w:p w14:paraId="212F357E" w14:textId="77777777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>Professional development e.g., conference travel</w:t>
            </w:r>
          </w:p>
          <w:p w14:paraId="2B23F69F" w14:textId="24BBB659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>Moving costs (max: $5,000</w:t>
            </w:r>
            <w:r w:rsidR="005B5381">
              <w:t xml:space="preserve"> following UW guidelines</w:t>
            </w:r>
            <w:r w:rsidR="004C304B">
              <w:t xml:space="preserve"> </w:t>
            </w:r>
            <w:hyperlink r:id="rId7" w:history="1">
              <w:r w:rsidR="004C304B" w:rsidRPr="008F0522">
                <w:rPr>
                  <w:rStyle w:val="Hyperlink"/>
                </w:rPr>
                <w:t>https://finance.uw.edu/ps/how-pay/moving-expenses</w:t>
              </w:r>
            </w:hyperlink>
            <w:r w:rsidR="004C304B">
              <w:t>)</w:t>
            </w:r>
          </w:p>
          <w:p w14:paraId="1DB8EF0E" w14:textId="060029A7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>Relocation incentive (follow</w:t>
            </w:r>
            <w:r w:rsidR="005B5381">
              <w:t>ing</w:t>
            </w:r>
            <w:r>
              <w:t xml:space="preserve"> UW guidelines</w:t>
            </w:r>
            <w:r w:rsidR="004C304B">
              <w:t xml:space="preserve"> </w:t>
            </w:r>
            <w:hyperlink r:id="rId8" w:history="1">
              <w:r w:rsidR="004C304B" w:rsidRPr="008F0522">
                <w:rPr>
                  <w:rStyle w:val="Hyperlink"/>
                </w:rPr>
                <w:t>https://ap.washington.edu/ahr/policies/recruitment/making-an-offer/relocation/</w:t>
              </w:r>
            </w:hyperlink>
            <w:r w:rsidR="004C304B">
              <w:t>)</w:t>
            </w:r>
          </w:p>
          <w:p w14:paraId="5AB7B5E4" w14:textId="77777777" w:rsidR="0017727B" w:rsidRDefault="0017727B" w:rsidP="0017727B">
            <w:pPr>
              <w:pStyle w:val="ListParagraph"/>
              <w:numPr>
                <w:ilvl w:val="0"/>
                <w:numId w:val="1"/>
              </w:numPr>
            </w:pPr>
            <w:r>
              <w:t>Course releases (standard buyout cost)</w:t>
            </w:r>
          </w:p>
          <w:p w14:paraId="6786F28A" w14:textId="77777777" w:rsidR="0017727B" w:rsidRDefault="0017727B" w:rsidP="0017727B"/>
        </w:tc>
        <w:tc>
          <w:tcPr>
            <w:tcW w:w="833" w:type="dxa"/>
          </w:tcPr>
          <w:p w14:paraId="3F1392A4" w14:textId="77777777" w:rsidR="0017727B" w:rsidRDefault="0017727B" w:rsidP="0017727B"/>
        </w:tc>
        <w:tc>
          <w:tcPr>
            <w:tcW w:w="833" w:type="dxa"/>
          </w:tcPr>
          <w:p w14:paraId="2F39A440" w14:textId="77777777" w:rsidR="0017727B" w:rsidRDefault="0017727B" w:rsidP="0017727B"/>
        </w:tc>
        <w:tc>
          <w:tcPr>
            <w:tcW w:w="890" w:type="dxa"/>
          </w:tcPr>
          <w:p w14:paraId="6CED76BE" w14:textId="5B859889" w:rsidR="0017727B" w:rsidRDefault="0017727B" w:rsidP="0017727B"/>
        </w:tc>
      </w:tr>
    </w:tbl>
    <w:p w14:paraId="12FFCAE4" w14:textId="77777777" w:rsidR="0017727B" w:rsidRDefault="0017727B" w:rsidP="0017727B"/>
    <w:p w14:paraId="516D57D9" w14:textId="73756AE8" w:rsidR="005C0A5D" w:rsidRDefault="005C0A5D" w:rsidP="005C0A5D"/>
    <w:p w14:paraId="31DB717B" w14:textId="77777777" w:rsidR="00C96F1D" w:rsidRDefault="00C96F1D"/>
    <w:sectPr w:rsidR="00C96F1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B4AE" w14:textId="77777777" w:rsidR="00883307" w:rsidRDefault="00883307" w:rsidP="005C0A5D">
      <w:pPr>
        <w:spacing w:after="0" w:line="240" w:lineRule="auto"/>
      </w:pPr>
      <w:r>
        <w:separator/>
      </w:r>
    </w:p>
  </w:endnote>
  <w:endnote w:type="continuationSeparator" w:id="0">
    <w:p w14:paraId="38ECC7D4" w14:textId="77777777" w:rsidR="00883307" w:rsidRDefault="00883307" w:rsidP="005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97A7F" w14:textId="77777777" w:rsidR="00883307" w:rsidRDefault="00883307" w:rsidP="005C0A5D">
      <w:pPr>
        <w:spacing w:after="0" w:line="240" w:lineRule="auto"/>
      </w:pPr>
      <w:r>
        <w:separator/>
      </w:r>
    </w:p>
  </w:footnote>
  <w:footnote w:type="continuationSeparator" w:id="0">
    <w:p w14:paraId="003E3500" w14:textId="77777777" w:rsidR="00883307" w:rsidRDefault="00883307" w:rsidP="005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E9ADC" w14:textId="0A95BCB0" w:rsidR="005C0A5D" w:rsidRPr="0087675B" w:rsidRDefault="0087675B" w:rsidP="0087675B">
    <w:pPr>
      <w:pStyle w:val="Header"/>
      <w:jc w:val="right"/>
      <w:rPr>
        <w:sz w:val="20"/>
      </w:rPr>
    </w:pPr>
    <w:r w:rsidRPr="0087675B">
      <w:rPr>
        <w:sz w:val="20"/>
      </w:rPr>
      <w:t>October 15</w:t>
    </w:r>
    <w:r w:rsidRPr="0087675B">
      <w:rPr>
        <w:sz w:val="20"/>
        <w:vertAlign w:val="superscript"/>
      </w:rPr>
      <w:t>th</w:t>
    </w:r>
    <w:proofErr w:type="gramStart"/>
    <w:r w:rsidRPr="0087675B">
      <w:rPr>
        <w:sz w:val="20"/>
      </w:rPr>
      <w:t xml:space="preserve"> 2019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D14"/>
    <w:multiLevelType w:val="hybridMultilevel"/>
    <w:tmpl w:val="B4F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FF"/>
    <w:rsid w:val="000456D5"/>
    <w:rsid w:val="000D2E5D"/>
    <w:rsid w:val="00137372"/>
    <w:rsid w:val="0015092C"/>
    <w:rsid w:val="0017727B"/>
    <w:rsid w:val="001C0724"/>
    <w:rsid w:val="002327A9"/>
    <w:rsid w:val="00271BB7"/>
    <w:rsid w:val="004C304B"/>
    <w:rsid w:val="005B5381"/>
    <w:rsid w:val="005C0A5D"/>
    <w:rsid w:val="005C59D2"/>
    <w:rsid w:val="00663147"/>
    <w:rsid w:val="00693413"/>
    <w:rsid w:val="00745107"/>
    <w:rsid w:val="007742F2"/>
    <w:rsid w:val="0084670A"/>
    <w:rsid w:val="0087675B"/>
    <w:rsid w:val="00883307"/>
    <w:rsid w:val="0089583A"/>
    <w:rsid w:val="009A2C6E"/>
    <w:rsid w:val="009E1D09"/>
    <w:rsid w:val="00A73621"/>
    <w:rsid w:val="00B0156F"/>
    <w:rsid w:val="00B16FBA"/>
    <w:rsid w:val="00B97FBD"/>
    <w:rsid w:val="00C40BC7"/>
    <w:rsid w:val="00C96F1D"/>
    <w:rsid w:val="00D0322B"/>
    <w:rsid w:val="00D718D4"/>
    <w:rsid w:val="00E038FF"/>
    <w:rsid w:val="00E27EB6"/>
    <w:rsid w:val="00F474C3"/>
    <w:rsid w:val="00F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7AAC"/>
  <w15:chartTrackingRefBased/>
  <w15:docId w15:val="{1F64B730-FF6D-435E-80C1-FA4FE5D6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A5D"/>
  </w:style>
  <w:style w:type="paragraph" w:styleId="Footer">
    <w:name w:val="footer"/>
    <w:basedOn w:val="Normal"/>
    <w:link w:val="FooterChar"/>
    <w:uiPriority w:val="99"/>
    <w:unhideWhenUsed/>
    <w:rsid w:val="005C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A5D"/>
  </w:style>
  <w:style w:type="table" w:styleId="TableGrid">
    <w:name w:val="Table Grid"/>
    <w:basedOn w:val="TableNormal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.washington.edu/ahr/policies/recruitment/making-an-offer/relo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uw.edu/ps/how-pay/moving-expen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Sharon</dc:creator>
  <cp:keywords/>
  <dc:description/>
  <cp:lastModifiedBy>Jones, Sharon</cp:lastModifiedBy>
  <cp:revision>29</cp:revision>
  <cp:lastPrinted>2019-10-12T18:22:00Z</cp:lastPrinted>
  <dcterms:created xsi:type="dcterms:W3CDTF">2019-10-04T17:01:00Z</dcterms:created>
  <dcterms:modified xsi:type="dcterms:W3CDTF">2019-10-12T18:25:00Z</dcterms:modified>
</cp:coreProperties>
</file>